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61" w:rsidRPr="00362A61" w:rsidRDefault="00362A61" w:rsidP="00362A61">
      <w:pPr>
        <w:jc w:val="center"/>
        <w:rPr>
          <w:b/>
          <w:smallCaps/>
          <w:szCs w:val="22"/>
          <w:u w:val="single"/>
        </w:rPr>
      </w:pPr>
      <w:r w:rsidRPr="00362A61">
        <w:rPr>
          <w:b/>
          <w:smallCaps/>
          <w:szCs w:val="22"/>
          <w:u w:val="single"/>
        </w:rPr>
        <w:t xml:space="preserve">DECRETO </w:t>
      </w:r>
      <w:r w:rsidR="00871EAD">
        <w:rPr>
          <w:b/>
          <w:smallCaps/>
          <w:szCs w:val="22"/>
          <w:u w:val="single"/>
        </w:rPr>
        <w:t>661</w:t>
      </w:r>
      <w:r w:rsidRPr="00362A61">
        <w:rPr>
          <w:b/>
          <w:smallCaps/>
          <w:szCs w:val="22"/>
          <w:u w:val="single"/>
        </w:rPr>
        <w:t>/2021</w:t>
      </w:r>
    </w:p>
    <w:p w:rsidR="00362A61" w:rsidRDefault="00362A61" w:rsidP="00E933CD">
      <w:pPr>
        <w:rPr>
          <w:b/>
          <w:smallCaps/>
          <w:szCs w:val="22"/>
        </w:rPr>
      </w:pPr>
    </w:p>
    <w:p w:rsidR="00E933CD" w:rsidRPr="00A242ED" w:rsidRDefault="00E933CD" w:rsidP="00E933CD">
      <w:pPr>
        <w:rPr>
          <w:szCs w:val="22"/>
        </w:rPr>
      </w:pPr>
      <w:r w:rsidRPr="0094499A">
        <w:rPr>
          <w:b/>
          <w:smallCaps/>
          <w:szCs w:val="22"/>
        </w:rPr>
        <w:t>A</w:t>
      </w:r>
      <w:r w:rsidR="0094499A" w:rsidRPr="0094499A">
        <w:rPr>
          <w:b/>
          <w:smallCaps/>
          <w:szCs w:val="22"/>
        </w:rPr>
        <w:t>sunto</w:t>
      </w:r>
      <w:r w:rsidRPr="0094499A">
        <w:rPr>
          <w:b/>
          <w:smallCaps/>
          <w:szCs w:val="22"/>
        </w:rPr>
        <w:t>:</w:t>
      </w:r>
      <w:r w:rsidRPr="00A242ED">
        <w:rPr>
          <w:szCs w:val="22"/>
        </w:rPr>
        <w:t xml:space="preserve"> </w:t>
      </w:r>
      <w:r w:rsidR="0094499A">
        <w:rPr>
          <w:szCs w:val="22"/>
        </w:rPr>
        <w:t>Plan presupuestario a medio plazo 2022-2024</w:t>
      </w:r>
    </w:p>
    <w:p w:rsidR="00E933CD" w:rsidRDefault="00E933CD" w:rsidP="00E933CD">
      <w:pPr>
        <w:rPr>
          <w:szCs w:val="22"/>
        </w:rPr>
      </w:pPr>
    </w:p>
    <w:p w:rsidR="00E933CD" w:rsidRPr="00A242ED" w:rsidRDefault="00E933CD" w:rsidP="00E933CD">
      <w:pPr>
        <w:rPr>
          <w:b/>
          <w:szCs w:val="22"/>
        </w:rPr>
      </w:pPr>
      <w:r w:rsidRPr="00A242ED">
        <w:rPr>
          <w:b/>
          <w:szCs w:val="22"/>
        </w:rPr>
        <w:t>1. Introducción</w:t>
      </w:r>
    </w:p>
    <w:p w:rsidR="00E933CD" w:rsidRPr="00A242ED" w:rsidRDefault="00E933CD" w:rsidP="00E933CD">
      <w:pPr>
        <w:rPr>
          <w:rFonts w:cs="Arial"/>
          <w:color w:val="000000"/>
          <w:szCs w:val="22"/>
        </w:rPr>
      </w:pPr>
    </w:p>
    <w:p w:rsidR="00E933CD" w:rsidRPr="00A242ED" w:rsidRDefault="00E933CD" w:rsidP="0099529F">
      <w:pPr>
        <w:spacing w:after="240" w:line="276" w:lineRule="auto"/>
        <w:rPr>
          <w:rFonts w:cs="Arial"/>
          <w:color w:val="000000"/>
          <w:szCs w:val="22"/>
        </w:rPr>
      </w:pPr>
      <w:r w:rsidRPr="00A242ED">
        <w:rPr>
          <w:rFonts w:cs="Arial"/>
          <w:color w:val="000000"/>
          <w:szCs w:val="22"/>
        </w:rPr>
        <w:t>El capítulo VI de la Ley Orgánica 2/2012, de 27 de abril, de Estabilidad Presupuestaria y Sostenibilidad Financiera (LOEPSF), relativo a la gestión presupuestaria, refuerza la planificación presupuestaria a través de la definición de un marco presupuestario a medio plazo, que se ajusta a las previsiones de la Directiva 2011/85/UE del Consejo de 8 de noviembre de 2011, sobre los requisitos aplicables a los marcos presupuestarios de los Estados miembros.</w:t>
      </w:r>
    </w:p>
    <w:p w:rsidR="00E933CD" w:rsidRPr="00A242ED" w:rsidRDefault="00E933CD" w:rsidP="0099529F">
      <w:pPr>
        <w:spacing w:after="240" w:line="276" w:lineRule="auto"/>
        <w:rPr>
          <w:szCs w:val="22"/>
        </w:rPr>
      </w:pPr>
      <w:r w:rsidRPr="00A242ED">
        <w:rPr>
          <w:szCs w:val="22"/>
        </w:rPr>
        <w:t>Conforme al artículo 10 de la Directiva 2011/85/UE del Consejo, las proyecciones</w:t>
      </w:r>
      <w:r w:rsidRPr="00A242ED">
        <w:rPr>
          <w:rFonts w:cs="Arial"/>
          <w:color w:val="000000"/>
          <w:szCs w:val="22"/>
        </w:rPr>
        <w:t xml:space="preserve"> de ingresos y gastos y las prioridades derivadas del marco presupuestario a </w:t>
      </w:r>
      <w:r w:rsidR="004F6769">
        <w:rPr>
          <w:szCs w:val="22"/>
        </w:rPr>
        <w:t xml:space="preserve">medio plazo </w:t>
      </w:r>
      <w:r w:rsidRPr="00A242ED">
        <w:rPr>
          <w:szCs w:val="22"/>
        </w:rPr>
        <w:t>constituirán la base de la elaboración del presupuesto anual.</w:t>
      </w:r>
    </w:p>
    <w:p w:rsidR="00E933CD" w:rsidRDefault="00E933CD" w:rsidP="0099529F">
      <w:pPr>
        <w:spacing w:after="240" w:line="276" w:lineRule="auto"/>
        <w:rPr>
          <w:szCs w:val="22"/>
        </w:rPr>
      </w:pPr>
      <w:r w:rsidRPr="00A242ED">
        <w:rPr>
          <w:szCs w:val="22"/>
        </w:rPr>
        <w:t>Establece</w:t>
      </w:r>
      <w:r w:rsidRPr="00A242ED">
        <w:rPr>
          <w:rFonts w:cs="Arial"/>
          <w:color w:val="000000"/>
          <w:szCs w:val="22"/>
        </w:rPr>
        <w:t xml:space="preserve"> el artículo 5 LOEPSF que «la elaboración de los presupuestos de las Administraciones Públicas se encuadrará en un marco presupuestario a medio plazo, compatible con el principio de anualidad por el que se rigen la aprobación y ejecución de los Presupuestos, de conformidad con la normativa </w:t>
      </w:r>
      <w:r w:rsidRPr="00A242ED">
        <w:rPr>
          <w:szCs w:val="22"/>
        </w:rPr>
        <w:t>europea».</w:t>
      </w:r>
    </w:p>
    <w:p w:rsidR="000D5746" w:rsidRPr="00A242ED" w:rsidRDefault="000D5746" w:rsidP="0099529F">
      <w:pPr>
        <w:spacing w:after="240" w:line="276" w:lineRule="auto"/>
        <w:rPr>
          <w:szCs w:val="22"/>
        </w:rPr>
      </w:pPr>
      <w:r>
        <w:rPr>
          <w:szCs w:val="22"/>
        </w:rPr>
        <w:t>El plan presupuestario de la entidad local debe elaborarse a nivel consolidado para todos aquellos entes que formen parte del subsector S.1313 “Corporaciones Locales” de Contabilidad Nacional dentro de la entidad local. De acuerdo con la información que consta en el Inventario de Entes del Sector Público Local</w:t>
      </w:r>
      <w:r w:rsidR="00653DDA">
        <w:rPr>
          <w:szCs w:val="22"/>
        </w:rPr>
        <w:t xml:space="preserve">, los entes que conforman el perímetro de consolidación son el propio Ayuntamiento y la </w:t>
      </w:r>
      <w:proofErr w:type="spellStart"/>
      <w:r w:rsidR="00653DDA">
        <w:rPr>
          <w:szCs w:val="22"/>
        </w:rPr>
        <w:t>Comunitat</w:t>
      </w:r>
      <w:proofErr w:type="spellEnd"/>
      <w:r w:rsidR="00653DDA">
        <w:rPr>
          <w:szCs w:val="22"/>
        </w:rPr>
        <w:t xml:space="preserve"> </w:t>
      </w:r>
      <w:proofErr w:type="spellStart"/>
      <w:r w:rsidR="00653DDA">
        <w:rPr>
          <w:szCs w:val="22"/>
        </w:rPr>
        <w:t>d’Usuaris</w:t>
      </w:r>
      <w:proofErr w:type="spellEnd"/>
      <w:r w:rsidR="00653DDA">
        <w:rPr>
          <w:szCs w:val="22"/>
        </w:rPr>
        <w:t xml:space="preserve"> </w:t>
      </w:r>
      <w:r w:rsidR="001E010F">
        <w:rPr>
          <w:szCs w:val="22"/>
        </w:rPr>
        <w:t xml:space="preserve">de </w:t>
      </w:r>
      <w:proofErr w:type="spellStart"/>
      <w:r w:rsidR="001E010F">
        <w:rPr>
          <w:szCs w:val="22"/>
        </w:rPr>
        <w:t>Vessaments</w:t>
      </w:r>
      <w:proofErr w:type="spellEnd"/>
      <w:r w:rsidR="001E010F">
        <w:rPr>
          <w:szCs w:val="22"/>
        </w:rPr>
        <w:t xml:space="preserve"> Ribera Alta I. En consecuencia, la información está expresada en términos consolidados de las dos entidades conforme a la normativa de estabilidad presupuestaria.</w:t>
      </w:r>
    </w:p>
    <w:p w:rsidR="00E933CD" w:rsidRPr="00A242ED" w:rsidRDefault="000E6F75" w:rsidP="003D4E7C">
      <w:pPr>
        <w:spacing w:line="276" w:lineRule="auto"/>
        <w:rPr>
          <w:rFonts w:cs="Arial"/>
          <w:color w:val="000000"/>
          <w:szCs w:val="22"/>
        </w:rPr>
      </w:pPr>
      <w:r>
        <w:rPr>
          <w:szCs w:val="22"/>
        </w:rPr>
        <w:t>Con base en lo anterior, l</w:t>
      </w:r>
      <w:r w:rsidR="00E933CD" w:rsidRPr="00A242ED">
        <w:rPr>
          <w:szCs w:val="22"/>
        </w:rPr>
        <w:t>as entidades locales vienen obligadas a aprobar un marco presupuestario a</w:t>
      </w:r>
      <w:r w:rsidR="00E933CD" w:rsidRPr="00A242ED">
        <w:rPr>
          <w:rFonts w:cs="Arial"/>
          <w:color w:val="000000"/>
          <w:szCs w:val="22"/>
        </w:rPr>
        <w:t xml:space="preserve"> medio plazo, que abarcará un período mínimo de tres años, en el que se enmarcarán sus presupuestos y que garantizarán una programación presupuestaria coherente con los objetivos de estabilidad y deuda pública. Los parámetros que debe contener este marco presupuestario se recogen en el art. 29.2 </w:t>
      </w:r>
      <w:r w:rsidR="0066794B">
        <w:rPr>
          <w:rFonts w:cs="Arial"/>
          <w:color w:val="000000"/>
          <w:szCs w:val="22"/>
        </w:rPr>
        <w:t xml:space="preserve">de la </w:t>
      </w:r>
      <w:r w:rsidR="00E933CD" w:rsidRPr="00A242ED">
        <w:rPr>
          <w:rFonts w:cs="Arial"/>
          <w:color w:val="000000"/>
          <w:szCs w:val="22"/>
        </w:rPr>
        <w:t>LOEPSF:</w:t>
      </w:r>
    </w:p>
    <w:p w:rsidR="00E933CD" w:rsidRPr="00A242ED" w:rsidRDefault="00E933CD" w:rsidP="003D4E7C">
      <w:pPr>
        <w:spacing w:before="120" w:after="180" w:line="276" w:lineRule="auto"/>
        <w:ind w:left="720"/>
        <w:rPr>
          <w:rFonts w:cs="Arial"/>
          <w:color w:val="000000"/>
          <w:szCs w:val="22"/>
        </w:rPr>
      </w:pPr>
      <w:r w:rsidRPr="00A242ED">
        <w:rPr>
          <w:rFonts w:cs="Arial"/>
          <w:color w:val="000000"/>
          <w:szCs w:val="22"/>
        </w:rPr>
        <w:t>a) Los objetivos de estabilidad presupuestaria y de deuda pública de las respectivas Administraciones Públicas.</w:t>
      </w:r>
    </w:p>
    <w:p w:rsidR="00E933CD" w:rsidRPr="00A242ED" w:rsidRDefault="00E933CD" w:rsidP="003D4E7C">
      <w:pPr>
        <w:spacing w:before="120" w:after="180" w:line="276" w:lineRule="auto"/>
        <w:ind w:left="720"/>
        <w:rPr>
          <w:rFonts w:cs="Arial"/>
          <w:color w:val="000000"/>
          <w:szCs w:val="22"/>
        </w:rPr>
      </w:pPr>
      <w:r w:rsidRPr="00A242ED">
        <w:rPr>
          <w:rFonts w:cs="Arial"/>
          <w:color w:val="000000"/>
          <w:szCs w:val="22"/>
        </w:rPr>
        <w:t>b) Las proyecciones de las principales partidas de ingresos y gastos teniendo en cuenta tanto su evolución tendencial, es decir basadas en políticas no sujetas a modificaciones, como el impacto de las medidas previstas para el periodo considerado.</w:t>
      </w:r>
    </w:p>
    <w:p w:rsidR="00E933CD" w:rsidRPr="00A242ED" w:rsidRDefault="00E933CD" w:rsidP="003D4E7C">
      <w:pPr>
        <w:spacing w:before="120" w:after="180" w:line="276" w:lineRule="auto"/>
        <w:ind w:left="720"/>
        <w:rPr>
          <w:rFonts w:cs="Arial"/>
          <w:color w:val="000000"/>
          <w:szCs w:val="22"/>
        </w:rPr>
      </w:pPr>
      <w:r w:rsidRPr="00A242ED">
        <w:rPr>
          <w:rFonts w:cs="Arial"/>
          <w:color w:val="000000"/>
          <w:szCs w:val="22"/>
        </w:rPr>
        <w:lastRenderedPageBreak/>
        <w:t>c) Los principales supuestos en los que se basan dichas proyecciones de ingresos y gastos.</w:t>
      </w:r>
    </w:p>
    <w:p w:rsidR="00EF0494" w:rsidRDefault="00E933CD" w:rsidP="0099529F">
      <w:pPr>
        <w:spacing w:after="240" w:line="276" w:lineRule="auto"/>
        <w:rPr>
          <w:rFonts w:cs="Arial"/>
          <w:color w:val="000000"/>
          <w:szCs w:val="22"/>
        </w:rPr>
      </w:pPr>
      <w:r w:rsidRPr="00A242ED">
        <w:rPr>
          <w:rFonts w:cs="Arial"/>
          <w:color w:val="000000"/>
          <w:szCs w:val="22"/>
        </w:rPr>
        <w:t>La Orden HAP/2105/2012, de 1 de octubre, por la que se desarrollan las obligaciones de suministro de información</w:t>
      </w:r>
      <w:r w:rsidR="00D23C42">
        <w:rPr>
          <w:rFonts w:cs="Arial"/>
          <w:color w:val="000000"/>
          <w:szCs w:val="22"/>
        </w:rPr>
        <w:t xml:space="preserve"> previstas en la Ley Orgánica 2/2017</w:t>
      </w:r>
      <w:r w:rsidRPr="00A242ED">
        <w:rPr>
          <w:rFonts w:cs="Arial"/>
          <w:color w:val="000000"/>
          <w:szCs w:val="22"/>
        </w:rPr>
        <w:t xml:space="preserve">, </w:t>
      </w:r>
      <w:r w:rsidR="00D23C42">
        <w:rPr>
          <w:rFonts w:cs="Arial"/>
          <w:color w:val="000000"/>
          <w:szCs w:val="22"/>
        </w:rPr>
        <w:t xml:space="preserve">establece en el artículo 6 la obligación de remitir información sobre los planes presupuestarios a medio plazo (PPMP, en adelante), recogidos en el artículo 29 de la LOEPSF, en los que se enmarcará la elaboración de los presupuestos de las Entidades Locales y a través de los cuales se garantizará una programación presupuestaria coherente con los objetivos de estabilidad presupuestaria y de deuda pública y de conformidad con la regla de gasto. </w:t>
      </w:r>
    </w:p>
    <w:p w:rsidR="00E933CD" w:rsidRPr="00A242ED" w:rsidRDefault="00E933CD" w:rsidP="0099529F">
      <w:pPr>
        <w:spacing w:after="240" w:line="276" w:lineRule="auto"/>
        <w:rPr>
          <w:szCs w:val="22"/>
        </w:rPr>
      </w:pPr>
      <w:r w:rsidRPr="00A242ED">
        <w:rPr>
          <w:szCs w:val="22"/>
        </w:rPr>
        <w:t xml:space="preserve">El órgano competente para su aprobación es la Alcaldía, puesto que la normativa reguladora del marco presupuestario </w:t>
      </w:r>
      <w:r w:rsidRPr="00A242ED">
        <w:rPr>
          <w:rFonts w:cs="Arial"/>
          <w:color w:val="000000"/>
          <w:szCs w:val="22"/>
        </w:rPr>
        <w:t xml:space="preserve">no define el órgano </w:t>
      </w:r>
      <w:r w:rsidR="008A2A13">
        <w:rPr>
          <w:rFonts w:cs="Arial"/>
          <w:color w:val="000000"/>
          <w:szCs w:val="22"/>
        </w:rPr>
        <w:t>que tiene atribuida</w:t>
      </w:r>
      <w:r w:rsidRPr="00A242ED">
        <w:rPr>
          <w:rFonts w:cs="Arial"/>
          <w:color w:val="000000"/>
          <w:szCs w:val="22"/>
        </w:rPr>
        <w:t xml:space="preserve"> su aprobación, </w:t>
      </w:r>
      <w:r w:rsidR="008A2A13">
        <w:rPr>
          <w:rFonts w:cs="Arial"/>
          <w:color w:val="000000"/>
          <w:szCs w:val="22"/>
        </w:rPr>
        <w:t>entra en juego</w:t>
      </w:r>
      <w:r w:rsidRPr="00A242ED">
        <w:rPr>
          <w:rFonts w:cs="Arial"/>
          <w:color w:val="000000"/>
          <w:szCs w:val="22"/>
        </w:rPr>
        <w:t xml:space="preserve"> la competencia residual de la misma conforme al artículo 21.1s) de la Ley de Bases de Régimen Local. Este criterio es también el sostenido por la Secretaria General de Coordinació</w:t>
      </w:r>
      <w:r w:rsidR="007272CC">
        <w:rPr>
          <w:rFonts w:cs="Arial"/>
          <w:color w:val="000000"/>
          <w:szCs w:val="22"/>
        </w:rPr>
        <w:t>n Autonómica y Local del MHF</w:t>
      </w:r>
      <w:r w:rsidR="006A72A3">
        <w:rPr>
          <w:rFonts w:cs="Arial"/>
          <w:color w:val="000000"/>
          <w:szCs w:val="22"/>
        </w:rPr>
        <w:t xml:space="preserve">P. Y </w:t>
      </w:r>
      <w:r w:rsidRPr="00A242ED">
        <w:rPr>
          <w:rFonts w:cs="Arial"/>
          <w:color w:val="000000"/>
          <w:szCs w:val="22"/>
        </w:rPr>
        <w:t>d</w:t>
      </w:r>
      <w:r w:rsidR="00EA56F1">
        <w:rPr>
          <w:rFonts w:cs="Arial"/>
          <w:color w:val="000000"/>
          <w:szCs w:val="22"/>
        </w:rPr>
        <w:t>ebe</w:t>
      </w:r>
      <w:r w:rsidRPr="00A242ED">
        <w:rPr>
          <w:rFonts w:cs="Arial"/>
          <w:color w:val="000000"/>
          <w:szCs w:val="22"/>
        </w:rPr>
        <w:t xml:space="preserve">rá </w:t>
      </w:r>
      <w:r w:rsidR="00EA56F1">
        <w:rPr>
          <w:rFonts w:cs="Arial"/>
          <w:color w:val="000000"/>
          <w:szCs w:val="22"/>
        </w:rPr>
        <w:t xml:space="preserve">darse </w:t>
      </w:r>
      <w:r w:rsidRPr="00A242ED">
        <w:rPr>
          <w:rFonts w:cs="Arial"/>
          <w:color w:val="000000"/>
          <w:szCs w:val="22"/>
        </w:rPr>
        <w:t>cuenta del mismo al Pleno municipal.</w:t>
      </w:r>
    </w:p>
    <w:p w:rsidR="00E933CD" w:rsidRPr="00A242ED" w:rsidRDefault="00E933CD" w:rsidP="0099529F">
      <w:pPr>
        <w:spacing w:after="240" w:line="276" w:lineRule="auto"/>
        <w:rPr>
          <w:szCs w:val="22"/>
        </w:rPr>
      </w:pPr>
      <w:r w:rsidRPr="00A242ED">
        <w:rPr>
          <w:szCs w:val="22"/>
        </w:rPr>
        <w:t>El marco presupuestario</w:t>
      </w:r>
      <w:r>
        <w:rPr>
          <w:szCs w:val="22"/>
        </w:rPr>
        <w:t xml:space="preserve"> debe remitirse</w:t>
      </w:r>
      <w:r w:rsidRPr="00A242ED">
        <w:rPr>
          <w:rFonts w:cs="Arial"/>
          <w:color w:val="000000"/>
          <w:szCs w:val="22"/>
        </w:rPr>
        <w:t xml:space="preserve"> al M</w:t>
      </w:r>
      <w:r w:rsidR="008A2A13">
        <w:rPr>
          <w:rFonts w:cs="Arial"/>
          <w:color w:val="000000"/>
          <w:szCs w:val="22"/>
        </w:rPr>
        <w:t>IN</w:t>
      </w:r>
      <w:r w:rsidR="007272CC">
        <w:rPr>
          <w:rFonts w:cs="Arial"/>
          <w:color w:val="000000"/>
          <w:szCs w:val="22"/>
        </w:rPr>
        <w:t>HF</w:t>
      </w:r>
      <w:r w:rsidR="004A0ECE">
        <w:rPr>
          <w:rFonts w:cs="Arial"/>
          <w:color w:val="000000"/>
          <w:szCs w:val="22"/>
        </w:rPr>
        <w:t>P</w:t>
      </w:r>
      <w:r w:rsidRPr="00A242ED">
        <w:rPr>
          <w:rFonts w:cs="Arial"/>
          <w:color w:val="000000"/>
          <w:szCs w:val="22"/>
        </w:rPr>
        <w:t xml:space="preserve"> </w:t>
      </w:r>
      <w:r w:rsidR="007272CC">
        <w:rPr>
          <w:rFonts w:cs="Arial"/>
          <w:color w:val="000000"/>
          <w:szCs w:val="22"/>
        </w:rPr>
        <w:t>a través de</w:t>
      </w:r>
      <w:r w:rsidRPr="00A242ED">
        <w:rPr>
          <w:rFonts w:cs="Arial"/>
          <w:color w:val="000000"/>
          <w:szCs w:val="22"/>
        </w:rPr>
        <w:t xml:space="preserve"> la aplicación informática que a tal efecto está habilitada en la página web del Ministerio hasta las </w:t>
      </w:r>
      <w:r w:rsidR="007B3FC8">
        <w:rPr>
          <w:rFonts w:cs="Arial"/>
          <w:color w:val="000000"/>
          <w:szCs w:val="22"/>
        </w:rPr>
        <w:t>24</w:t>
      </w:r>
      <w:r w:rsidRPr="00A242ED">
        <w:rPr>
          <w:rFonts w:cs="Arial"/>
          <w:color w:val="000000"/>
          <w:szCs w:val="22"/>
        </w:rPr>
        <w:t>:00 hor</w:t>
      </w:r>
      <w:r>
        <w:rPr>
          <w:rFonts w:cs="Arial"/>
          <w:color w:val="000000"/>
          <w:szCs w:val="22"/>
        </w:rPr>
        <w:t>a</w:t>
      </w:r>
      <w:r w:rsidRPr="00A242ED">
        <w:rPr>
          <w:rFonts w:cs="Arial"/>
          <w:color w:val="000000"/>
          <w:szCs w:val="22"/>
        </w:rPr>
        <w:t xml:space="preserve">s del </w:t>
      </w:r>
      <w:r w:rsidR="007B3FC8">
        <w:rPr>
          <w:rFonts w:cs="Arial"/>
          <w:color w:val="000000"/>
          <w:szCs w:val="22"/>
        </w:rPr>
        <w:t xml:space="preserve">próximo </w:t>
      </w:r>
      <w:r w:rsidR="00E6214C">
        <w:rPr>
          <w:rFonts w:cs="Arial"/>
          <w:color w:val="000000"/>
          <w:szCs w:val="22"/>
        </w:rPr>
        <w:t>31</w:t>
      </w:r>
      <w:r w:rsidRPr="00A242ED">
        <w:rPr>
          <w:rFonts w:cs="Arial"/>
          <w:color w:val="000000"/>
          <w:szCs w:val="22"/>
        </w:rPr>
        <w:t xml:space="preserve"> de marzo.</w:t>
      </w:r>
    </w:p>
    <w:p w:rsidR="00E933CD" w:rsidRPr="00A242ED" w:rsidRDefault="00E933CD" w:rsidP="0099529F">
      <w:pPr>
        <w:spacing w:after="240" w:line="276" w:lineRule="auto"/>
        <w:rPr>
          <w:szCs w:val="22"/>
        </w:rPr>
      </w:pPr>
      <w:r w:rsidRPr="00A242ED">
        <w:rPr>
          <w:szCs w:val="22"/>
        </w:rPr>
        <w:t xml:space="preserve">La presente propuesta se estructura de la siguiente manera: después de esta introducción sobre la normativa presupuestaria aplicable, en el apartado 2 se recogen los objetivos de estabilidad y deuda pública fijados por el Gobierno de España; en el apartado 3 se indican las proyecciones de las principales macromagnitudes de la economía española; en </w:t>
      </w:r>
      <w:r w:rsidR="00EA56F1">
        <w:rPr>
          <w:szCs w:val="22"/>
        </w:rPr>
        <w:t>los</w:t>
      </w:r>
      <w:r w:rsidRPr="00A242ED">
        <w:rPr>
          <w:szCs w:val="22"/>
        </w:rPr>
        <w:t xml:space="preserve"> apartado</w:t>
      </w:r>
      <w:r w:rsidR="00EA56F1">
        <w:rPr>
          <w:szCs w:val="22"/>
        </w:rPr>
        <w:t>s</w:t>
      </w:r>
      <w:r w:rsidRPr="00A242ED">
        <w:rPr>
          <w:szCs w:val="22"/>
        </w:rPr>
        <w:t xml:space="preserve"> 4</w:t>
      </w:r>
      <w:r w:rsidR="00EA56F1">
        <w:rPr>
          <w:szCs w:val="22"/>
        </w:rPr>
        <w:t xml:space="preserve"> y 5</w:t>
      </w:r>
      <w:r w:rsidRPr="00A242ED">
        <w:rPr>
          <w:szCs w:val="22"/>
        </w:rPr>
        <w:t xml:space="preserve"> se expone</w:t>
      </w:r>
      <w:r w:rsidR="00EA56F1">
        <w:rPr>
          <w:szCs w:val="22"/>
        </w:rPr>
        <w:t>n</w:t>
      </w:r>
      <w:r w:rsidRPr="00A242ED">
        <w:rPr>
          <w:szCs w:val="22"/>
        </w:rPr>
        <w:t xml:space="preserve"> el marco presupuestario</w:t>
      </w:r>
      <w:r w:rsidR="00EA56F1">
        <w:rPr>
          <w:szCs w:val="22"/>
        </w:rPr>
        <w:t xml:space="preserve"> y </w:t>
      </w:r>
      <w:r w:rsidRPr="00A242ED">
        <w:rPr>
          <w:szCs w:val="22"/>
        </w:rPr>
        <w:t xml:space="preserve">los supuestos fiscales y presupuestarios que han servido de base para la elaboración del </w:t>
      </w:r>
      <w:r>
        <w:rPr>
          <w:szCs w:val="22"/>
        </w:rPr>
        <w:t>mismo</w:t>
      </w:r>
      <w:r w:rsidR="00EA56F1">
        <w:rPr>
          <w:szCs w:val="22"/>
        </w:rPr>
        <w:t>, y se muestra detallado su contenido, siguiendo los formularios que se remiten al Ministerio. En un último apartado</w:t>
      </w:r>
      <w:r w:rsidR="00975BDF">
        <w:rPr>
          <w:szCs w:val="22"/>
        </w:rPr>
        <w:t>, el 6,</w:t>
      </w:r>
      <w:r w:rsidR="00EA56F1">
        <w:rPr>
          <w:szCs w:val="22"/>
        </w:rPr>
        <w:t xml:space="preserve"> figuran los saldos y otras magnitudes obtenidas. </w:t>
      </w:r>
    </w:p>
    <w:p w:rsidR="00E933CD" w:rsidRPr="00A242ED" w:rsidRDefault="00E933CD" w:rsidP="0099529F">
      <w:pPr>
        <w:spacing w:after="240"/>
        <w:rPr>
          <w:szCs w:val="22"/>
        </w:rPr>
      </w:pPr>
      <w:r w:rsidRPr="00A242ED">
        <w:rPr>
          <w:b/>
          <w:szCs w:val="22"/>
        </w:rPr>
        <w:t>2. Objetivos de estabilidad presupuestaria, deuda pública y regla de gasto para el conjunto de las Administraciones Públicas</w:t>
      </w:r>
    </w:p>
    <w:p w:rsidR="00F51CEE" w:rsidRDefault="000054CB" w:rsidP="0099529F">
      <w:pPr>
        <w:spacing w:after="240" w:line="276" w:lineRule="auto"/>
        <w:rPr>
          <w:sz w:val="24"/>
        </w:rPr>
      </w:pPr>
      <w:r>
        <w:rPr>
          <w:szCs w:val="22"/>
        </w:rPr>
        <w:t>De acuerdo con e</w:t>
      </w:r>
      <w:r w:rsidR="00E933CD" w:rsidRPr="00A242ED">
        <w:rPr>
          <w:szCs w:val="22"/>
        </w:rPr>
        <w:t>l artículo 15 de la LOEPSF</w:t>
      </w:r>
      <w:r>
        <w:rPr>
          <w:szCs w:val="22"/>
        </w:rPr>
        <w:t xml:space="preserve">, el Gobierno mediante acuerdo del Consejo de Ministros </w:t>
      </w:r>
      <w:r w:rsidR="008F3B3D">
        <w:rPr>
          <w:szCs w:val="22"/>
        </w:rPr>
        <w:t>de 11 de febrero de 2020, adecuó los objetivos de estabilidad presupuestaria y de deuda pública y límites de la regla de gasto para el conjunto de las Administraciones Públicas y de cada uno de sus subsectores para el período 2021-2023 para su remisión a las Cortes Generales</w:t>
      </w:r>
      <w:r>
        <w:rPr>
          <w:szCs w:val="22"/>
        </w:rPr>
        <w:t xml:space="preserve">. </w:t>
      </w:r>
      <w:r w:rsidR="00336753">
        <w:rPr>
          <w:szCs w:val="22"/>
        </w:rPr>
        <w:t xml:space="preserve">En las tablas 1, 2, y 3 figuran </w:t>
      </w:r>
      <w:r w:rsidR="008F3B3D">
        <w:rPr>
          <w:szCs w:val="22"/>
        </w:rPr>
        <w:t>dichos objetivos</w:t>
      </w:r>
      <w:r w:rsidR="00F51CEE">
        <w:rPr>
          <w:szCs w:val="22"/>
        </w:rPr>
        <w:t>.</w:t>
      </w:r>
      <w:r w:rsidR="00F51CEE" w:rsidRPr="00A242ED">
        <w:rPr>
          <w:sz w:val="24"/>
        </w:rPr>
        <w:t xml:space="preserve"> </w:t>
      </w:r>
    </w:p>
    <w:p w:rsidR="008F3B3D" w:rsidRDefault="008F3B3D" w:rsidP="0099529F">
      <w:pPr>
        <w:spacing w:after="240" w:line="276" w:lineRule="auto"/>
        <w:rPr>
          <w:sz w:val="24"/>
        </w:rPr>
      </w:pPr>
    </w:p>
    <w:p w:rsidR="008F3B3D" w:rsidRDefault="008F3B3D" w:rsidP="0099529F">
      <w:pPr>
        <w:spacing w:after="240" w:line="276" w:lineRule="auto"/>
        <w:rPr>
          <w:sz w:val="24"/>
        </w:rPr>
      </w:pPr>
    </w:p>
    <w:p w:rsidR="00F42D57" w:rsidRDefault="00F42D57" w:rsidP="0099529F">
      <w:pPr>
        <w:spacing w:after="240" w:line="276" w:lineRule="auto"/>
        <w:rPr>
          <w:sz w:val="24"/>
        </w:rPr>
      </w:pPr>
    </w:p>
    <w:p w:rsidR="008F3B3D" w:rsidRPr="00905886" w:rsidRDefault="008F3B3D" w:rsidP="0099529F">
      <w:pPr>
        <w:spacing w:after="240" w:line="276" w:lineRule="auto"/>
        <w:rPr>
          <w:sz w:val="20"/>
        </w:rPr>
      </w:pPr>
    </w:p>
    <w:p w:rsidR="00E933CD" w:rsidRDefault="00E933CD" w:rsidP="00A25EF4">
      <w:pPr>
        <w:ind w:left="993" w:right="991"/>
        <w:jc w:val="left"/>
        <w:rPr>
          <w:b/>
          <w:sz w:val="18"/>
          <w:szCs w:val="20"/>
        </w:rPr>
      </w:pPr>
      <w:r w:rsidRPr="00A25EF4">
        <w:rPr>
          <w:b/>
          <w:sz w:val="18"/>
          <w:szCs w:val="20"/>
        </w:rPr>
        <w:t>Tabla 1. Capacidad</w:t>
      </w:r>
      <w:r w:rsidR="0099529F">
        <w:rPr>
          <w:b/>
          <w:sz w:val="18"/>
          <w:szCs w:val="20"/>
        </w:rPr>
        <w:t>/</w:t>
      </w:r>
      <w:r w:rsidRPr="00A25EF4">
        <w:rPr>
          <w:b/>
          <w:sz w:val="18"/>
          <w:szCs w:val="20"/>
        </w:rPr>
        <w:t>Necesidad de Financiación, SEC</w:t>
      </w:r>
      <w:r w:rsidR="00992861" w:rsidRPr="00A25EF4">
        <w:rPr>
          <w:b/>
          <w:sz w:val="18"/>
          <w:szCs w:val="20"/>
        </w:rPr>
        <w:t>-2010</w:t>
      </w:r>
      <w:r w:rsidRPr="00A25EF4">
        <w:rPr>
          <w:b/>
          <w:sz w:val="18"/>
          <w:szCs w:val="20"/>
        </w:rPr>
        <w:t xml:space="preserve"> (</w:t>
      </w:r>
      <w:r w:rsidR="009D4EFE" w:rsidRPr="00A25EF4">
        <w:rPr>
          <w:b/>
          <w:sz w:val="18"/>
          <w:szCs w:val="20"/>
        </w:rPr>
        <w:t>en %</w:t>
      </w:r>
      <w:r w:rsidRPr="00A25EF4">
        <w:rPr>
          <w:b/>
          <w:sz w:val="18"/>
          <w:szCs w:val="20"/>
        </w:rPr>
        <w:t xml:space="preserve"> del PIB)</w:t>
      </w:r>
    </w:p>
    <w:p w:rsidR="0099529F" w:rsidRPr="00A25EF4" w:rsidRDefault="0099529F" w:rsidP="00A25EF4">
      <w:pPr>
        <w:ind w:left="993" w:right="991"/>
        <w:jc w:val="left"/>
        <w:rPr>
          <w:b/>
          <w:sz w:val="1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990"/>
        <w:gridCol w:w="990"/>
        <w:gridCol w:w="991"/>
      </w:tblGrid>
      <w:tr w:rsidR="00F42378" w:rsidRPr="00A25EF4" w:rsidTr="0099529F">
        <w:trPr>
          <w:trHeight w:val="260"/>
          <w:jc w:val="center"/>
        </w:trPr>
        <w:tc>
          <w:tcPr>
            <w:tcW w:w="3528" w:type="dxa"/>
            <w:vAlign w:val="center"/>
          </w:tcPr>
          <w:p w:rsidR="00F42378" w:rsidRPr="00A25EF4" w:rsidRDefault="00F42378" w:rsidP="00992861">
            <w:pPr>
              <w:jc w:val="center"/>
              <w:rPr>
                <w:b/>
                <w:sz w:val="18"/>
                <w:szCs w:val="20"/>
              </w:rPr>
            </w:pPr>
          </w:p>
        </w:tc>
        <w:tc>
          <w:tcPr>
            <w:tcW w:w="990" w:type="dxa"/>
            <w:vAlign w:val="center"/>
          </w:tcPr>
          <w:p w:rsidR="00F42378" w:rsidRPr="00A25EF4" w:rsidRDefault="00F42378" w:rsidP="00B448BC">
            <w:pPr>
              <w:jc w:val="center"/>
              <w:rPr>
                <w:b/>
                <w:sz w:val="18"/>
                <w:szCs w:val="20"/>
              </w:rPr>
            </w:pPr>
            <w:r w:rsidRPr="00A25EF4">
              <w:rPr>
                <w:b/>
                <w:sz w:val="18"/>
                <w:szCs w:val="20"/>
              </w:rPr>
              <w:t>20</w:t>
            </w:r>
            <w:r w:rsidR="008F3B3D">
              <w:rPr>
                <w:b/>
                <w:sz w:val="18"/>
                <w:szCs w:val="20"/>
              </w:rPr>
              <w:t>21</w:t>
            </w:r>
          </w:p>
        </w:tc>
        <w:tc>
          <w:tcPr>
            <w:tcW w:w="990" w:type="dxa"/>
            <w:vAlign w:val="center"/>
          </w:tcPr>
          <w:p w:rsidR="00F42378" w:rsidRPr="00A25EF4" w:rsidRDefault="00F42378" w:rsidP="00B448BC">
            <w:pPr>
              <w:jc w:val="center"/>
              <w:rPr>
                <w:b/>
                <w:sz w:val="18"/>
                <w:szCs w:val="20"/>
              </w:rPr>
            </w:pPr>
            <w:r w:rsidRPr="00A25EF4">
              <w:rPr>
                <w:b/>
                <w:sz w:val="18"/>
                <w:szCs w:val="20"/>
              </w:rPr>
              <w:t>20</w:t>
            </w:r>
            <w:r w:rsidR="00B448BC">
              <w:rPr>
                <w:b/>
                <w:sz w:val="18"/>
                <w:szCs w:val="20"/>
              </w:rPr>
              <w:t>2</w:t>
            </w:r>
            <w:r w:rsidR="008F3B3D">
              <w:rPr>
                <w:b/>
                <w:sz w:val="18"/>
                <w:szCs w:val="20"/>
              </w:rPr>
              <w:t>2</w:t>
            </w:r>
          </w:p>
        </w:tc>
        <w:tc>
          <w:tcPr>
            <w:tcW w:w="991" w:type="dxa"/>
            <w:vAlign w:val="center"/>
          </w:tcPr>
          <w:p w:rsidR="00F42378" w:rsidRPr="00A25EF4" w:rsidRDefault="00F42378" w:rsidP="00B448BC">
            <w:pPr>
              <w:jc w:val="center"/>
              <w:rPr>
                <w:b/>
                <w:sz w:val="18"/>
                <w:szCs w:val="20"/>
              </w:rPr>
            </w:pPr>
            <w:r w:rsidRPr="00A25EF4">
              <w:rPr>
                <w:b/>
                <w:sz w:val="18"/>
                <w:szCs w:val="20"/>
              </w:rPr>
              <w:t>202</w:t>
            </w:r>
            <w:r w:rsidR="008F3B3D">
              <w:rPr>
                <w:b/>
                <w:sz w:val="18"/>
                <w:szCs w:val="20"/>
              </w:rPr>
              <w:t>3</w:t>
            </w:r>
          </w:p>
        </w:tc>
      </w:tr>
      <w:tr w:rsidR="00F42378" w:rsidRPr="00A25EF4" w:rsidTr="00992861">
        <w:trPr>
          <w:jc w:val="center"/>
        </w:trPr>
        <w:tc>
          <w:tcPr>
            <w:tcW w:w="3528" w:type="dxa"/>
            <w:vAlign w:val="bottom"/>
          </w:tcPr>
          <w:p w:rsidR="00F42378" w:rsidRPr="00A25EF4" w:rsidRDefault="00F42378" w:rsidP="00992861">
            <w:pPr>
              <w:spacing w:line="360" w:lineRule="auto"/>
              <w:jc w:val="left"/>
              <w:rPr>
                <w:sz w:val="18"/>
                <w:szCs w:val="20"/>
              </w:rPr>
            </w:pPr>
            <w:r w:rsidRPr="00A25EF4">
              <w:rPr>
                <w:sz w:val="18"/>
                <w:szCs w:val="20"/>
              </w:rPr>
              <w:t>Administración Central</w:t>
            </w:r>
          </w:p>
        </w:tc>
        <w:tc>
          <w:tcPr>
            <w:tcW w:w="990" w:type="dxa"/>
            <w:vAlign w:val="center"/>
          </w:tcPr>
          <w:p w:rsidR="00F42378" w:rsidRPr="00A25EF4" w:rsidRDefault="00F42378" w:rsidP="00992861">
            <w:pPr>
              <w:spacing w:line="360" w:lineRule="auto"/>
              <w:jc w:val="center"/>
              <w:rPr>
                <w:sz w:val="18"/>
                <w:szCs w:val="20"/>
              </w:rPr>
            </w:pPr>
            <w:r w:rsidRPr="00A25EF4">
              <w:rPr>
                <w:sz w:val="18"/>
                <w:szCs w:val="20"/>
              </w:rPr>
              <w:t>-0,</w:t>
            </w:r>
            <w:r w:rsidR="008F3B3D">
              <w:rPr>
                <w:sz w:val="18"/>
                <w:szCs w:val="20"/>
              </w:rPr>
              <w:t>4</w:t>
            </w:r>
          </w:p>
        </w:tc>
        <w:tc>
          <w:tcPr>
            <w:tcW w:w="990" w:type="dxa"/>
            <w:vAlign w:val="center"/>
          </w:tcPr>
          <w:p w:rsidR="00F42378" w:rsidRPr="00A25EF4" w:rsidRDefault="00F42378" w:rsidP="00992861">
            <w:pPr>
              <w:spacing w:line="360" w:lineRule="auto"/>
              <w:jc w:val="center"/>
              <w:rPr>
                <w:sz w:val="18"/>
                <w:szCs w:val="20"/>
              </w:rPr>
            </w:pPr>
            <w:r w:rsidRPr="00A25EF4">
              <w:rPr>
                <w:sz w:val="18"/>
                <w:szCs w:val="20"/>
              </w:rPr>
              <w:t>-0,</w:t>
            </w:r>
            <w:r w:rsidR="008F3B3D">
              <w:rPr>
                <w:sz w:val="18"/>
                <w:szCs w:val="20"/>
              </w:rPr>
              <w:t>3</w:t>
            </w:r>
          </w:p>
        </w:tc>
        <w:tc>
          <w:tcPr>
            <w:tcW w:w="991" w:type="dxa"/>
            <w:vAlign w:val="center"/>
          </w:tcPr>
          <w:p w:rsidR="00F42378" w:rsidRPr="00A25EF4" w:rsidRDefault="008F3B3D" w:rsidP="00992861">
            <w:pPr>
              <w:spacing w:line="360" w:lineRule="auto"/>
              <w:jc w:val="center"/>
              <w:rPr>
                <w:sz w:val="18"/>
                <w:szCs w:val="20"/>
              </w:rPr>
            </w:pPr>
            <w:r>
              <w:rPr>
                <w:sz w:val="18"/>
                <w:szCs w:val="20"/>
              </w:rPr>
              <w:t>-</w:t>
            </w:r>
            <w:r w:rsidR="00F42378" w:rsidRPr="00A25EF4">
              <w:rPr>
                <w:sz w:val="18"/>
                <w:szCs w:val="20"/>
              </w:rPr>
              <w:t>0,</w:t>
            </w:r>
            <w:r>
              <w:rPr>
                <w:sz w:val="18"/>
                <w:szCs w:val="20"/>
              </w:rPr>
              <w:t>1</w:t>
            </w:r>
          </w:p>
        </w:tc>
      </w:tr>
      <w:tr w:rsidR="00F42378" w:rsidRPr="00A25EF4" w:rsidTr="00992861">
        <w:trPr>
          <w:jc w:val="center"/>
        </w:trPr>
        <w:tc>
          <w:tcPr>
            <w:tcW w:w="3528" w:type="dxa"/>
            <w:vAlign w:val="center"/>
          </w:tcPr>
          <w:p w:rsidR="00F42378" w:rsidRPr="00A25EF4" w:rsidRDefault="00F42378" w:rsidP="00992861">
            <w:pPr>
              <w:spacing w:line="360" w:lineRule="auto"/>
              <w:jc w:val="left"/>
              <w:rPr>
                <w:sz w:val="18"/>
                <w:szCs w:val="20"/>
              </w:rPr>
            </w:pPr>
            <w:r w:rsidRPr="00A25EF4">
              <w:rPr>
                <w:sz w:val="18"/>
                <w:szCs w:val="20"/>
              </w:rPr>
              <w:t>Comunidades Autónomas</w:t>
            </w:r>
          </w:p>
        </w:tc>
        <w:tc>
          <w:tcPr>
            <w:tcW w:w="990" w:type="dxa"/>
            <w:vAlign w:val="center"/>
          </w:tcPr>
          <w:p w:rsidR="00F42378" w:rsidRPr="00A25EF4" w:rsidRDefault="00A25EF4" w:rsidP="00992861">
            <w:pPr>
              <w:spacing w:line="360" w:lineRule="auto"/>
              <w:jc w:val="center"/>
              <w:rPr>
                <w:sz w:val="18"/>
                <w:szCs w:val="20"/>
              </w:rPr>
            </w:pPr>
            <w:r w:rsidRPr="00A25EF4">
              <w:rPr>
                <w:sz w:val="18"/>
                <w:szCs w:val="20"/>
              </w:rPr>
              <w:t>-0,</w:t>
            </w:r>
            <w:r w:rsidR="008F3B3D">
              <w:rPr>
                <w:sz w:val="18"/>
                <w:szCs w:val="20"/>
              </w:rPr>
              <w:t>1</w:t>
            </w:r>
          </w:p>
        </w:tc>
        <w:tc>
          <w:tcPr>
            <w:tcW w:w="990" w:type="dxa"/>
            <w:vAlign w:val="center"/>
          </w:tcPr>
          <w:p w:rsidR="00F42378" w:rsidRPr="00A25EF4" w:rsidRDefault="008F3B3D" w:rsidP="00B448BC">
            <w:pPr>
              <w:spacing w:line="360" w:lineRule="auto"/>
              <w:jc w:val="center"/>
              <w:rPr>
                <w:sz w:val="18"/>
                <w:szCs w:val="20"/>
              </w:rPr>
            </w:pPr>
            <w:r>
              <w:rPr>
                <w:sz w:val="18"/>
                <w:szCs w:val="20"/>
              </w:rPr>
              <w:t>0,0</w:t>
            </w:r>
          </w:p>
        </w:tc>
        <w:tc>
          <w:tcPr>
            <w:tcW w:w="991" w:type="dxa"/>
            <w:vAlign w:val="center"/>
          </w:tcPr>
          <w:p w:rsidR="00F42378" w:rsidRPr="00A25EF4" w:rsidRDefault="00A25EF4" w:rsidP="00992861">
            <w:pPr>
              <w:spacing w:line="360" w:lineRule="auto"/>
              <w:jc w:val="center"/>
              <w:rPr>
                <w:sz w:val="18"/>
                <w:szCs w:val="20"/>
              </w:rPr>
            </w:pPr>
            <w:r w:rsidRPr="00A25EF4">
              <w:rPr>
                <w:sz w:val="18"/>
                <w:szCs w:val="20"/>
              </w:rPr>
              <w:t>0,0</w:t>
            </w:r>
          </w:p>
        </w:tc>
      </w:tr>
      <w:tr w:rsidR="00F42378" w:rsidRPr="00A25EF4" w:rsidTr="00992861">
        <w:trPr>
          <w:jc w:val="center"/>
        </w:trPr>
        <w:tc>
          <w:tcPr>
            <w:tcW w:w="3528" w:type="dxa"/>
            <w:vAlign w:val="center"/>
          </w:tcPr>
          <w:p w:rsidR="00F42378" w:rsidRPr="00A25EF4" w:rsidRDefault="00F42378" w:rsidP="00992861">
            <w:pPr>
              <w:spacing w:line="360" w:lineRule="auto"/>
              <w:jc w:val="left"/>
              <w:rPr>
                <w:b/>
                <w:sz w:val="18"/>
                <w:szCs w:val="20"/>
              </w:rPr>
            </w:pPr>
            <w:r w:rsidRPr="00A25EF4">
              <w:rPr>
                <w:b/>
                <w:sz w:val="18"/>
                <w:szCs w:val="20"/>
              </w:rPr>
              <w:t>Entidades Locales</w:t>
            </w:r>
          </w:p>
        </w:tc>
        <w:tc>
          <w:tcPr>
            <w:tcW w:w="990" w:type="dxa"/>
            <w:vAlign w:val="center"/>
          </w:tcPr>
          <w:p w:rsidR="00F42378" w:rsidRPr="00A25EF4" w:rsidRDefault="00F42378" w:rsidP="00992861">
            <w:pPr>
              <w:spacing w:line="360" w:lineRule="auto"/>
              <w:jc w:val="center"/>
              <w:rPr>
                <w:b/>
                <w:sz w:val="18"/>
                <w:szCs w:val="20"/>
              </w:rPr>
            </w:pPr>
            <w:r w:rsidRPr="00A25EF4">
              <w:rPr>
                <w:b/>
                <w:sz w:val="18"/>
                <w:szCs w:val="20"/>
              </w:rPr>
              <w:t>0,0</w:t>
            </w:r>
          </w:p>
        </w:tc>
        <w:tc>
          <w:tcPr>
            <w:tcW w:w="990" w:type="dxa"/>
            <w:vAlign w:val="center"/>
          </w:tcPr>
          <w:p w:rsidR="00F42378" w:rsidRPr="00A25EF4" w:rsidRDefault="00B448BC" w:rsidP="00992861">
            <w:pPr>
              <w:spacing w:line="360" w:lineRule="auto"/>
              <w:jc w:val="center"/>
              <w:rPr>
                <w:b/>
                <w:sz w:val="18"/>
                <w:szCs w:val="20"/>
              </w:rPr>
            </w:pPr>
            <w:r>
              <w:rPr>
                <w:b/>
                <w:sz w:val="18"/>
                <w:szCs w:val="20"/>
              </w:rPr>
              <w:t>0,0</w:t>
            </w:r>
          </w:p>
        </w:tc>
        <w:tc>
          <w:tcPr>
            <w:tcW w:w="991" w:type="dxa"/>
            <w:vAlign w:val="center"/>
          </w:tcPr>
          <w:p w:rsidR="00F42378" w:rsidRPr="00A25EF4" w:rsidRDefault="00B448BC" w:rsidP="00992861">
            <w:pPr>
              <w:spacing w:line="360" w:lineRule="auto"/>
              <w:jc w:val="center"/>
              <w:rPr>
                <w:b/>
                <w:sz w:val="18"/>
                <w:szCs w:val="20"/>
              </w:rPr>
            </w:pPr>
            <w:r>
              <w:rPr>
                <w:b/>
                <w:sz w:val="18"/>
                <w:szCs w:val="20"/>
              </w:rPr>
              <w:t>0</w:t>
            </w:r>
            <w:r w:rsidR="00F42378" w:rsidRPr="00A25EF4">
              <w:rPr>
                <w:b/>
                <w:sz w:val="18"/>
                <w:szCs w:val="20"/>
              </w:rPr>
              <w:t>,0</w:t>
            </w:r>
          </w:p>
        </w:tc>
      </w:tr>
      <w:tr w:rsidR="00F42378" w:rsidRPr="00A25EF4" w:rsidTr="00992861">
        <w:trPr>
          <w:jc w:val="center"/>
        </w:trPr>
        <w:tc>
          <w:tcPr>
            <w:tcW w:w="3528" w:type="dxa"/>
            <w:vAlign w:val="center"/>
          </w:tcPr>
          <w:p w:rsidR="00F42378" w:rsidRPr="00A25EF4" w:rsidRDefault="00F42378" w:rsidP="00992861">
            <w:pPr>
              <w:spacing w:line="360" w:lineRule="auto"/>
              <w:jc w:val="left"/>
              <w:rPr>
                <w:sz w:val="18"/>
                <w:szCs w:val="20"/>
              </w:rPr>
            </w:pPr>
            <w:r w:rsidRPr="00A25EF4">
              <w:rPr>
                <w:sz w:val="18"/>
                <w:szCs w:val="20"/>
              </w:rPr>
              <w:t>Seguridad Social</w:t>
            </w:r>
          </w:p>
        </w:tc>
        <w:tc>
          <w:tcPr>
            <w:tcW w:w="990" w:type="dxa"/>
            <w:vAlign w:val="center"/>
          </w:tcPr>
          <w:p w:rsidR="00F42378" w:rsidRPr="00A25EF4" w:rsidRDefault="00F42378" w:rsidP="00992861">
            <w:pPr>
              <w:spacing w:line="360" w:lineRule="auto"/>
              <w:jc w:val="center"/>
              <w:rPr>
                <w:sz w:val="18"/>
                <w:szCs w:val="20"/>
              </w:rPr>
            </w:pPr>
            <w:r w:rsidRPr="00A25EF4">
              <w:rPr>
                <w:sz w:val="18"/>
                <w:szCs w:val="20"/>
              </w:rPr>
              <w:t>-1,</w:t>
            </w:r>
            <w:r w:rsidR="008F3B3D">
              <w:rPr>
                <w:sz w:val="18"/>
                <w:szCs w:val="20"/>
              </w:rPr>
              <w:t>0</w:t>
            </w:r>
          </w:p>
        </w:tc>
        <w:tc>
          <w:tcPr>
            <w:tcW w:w="990" w:type="dxa"/>
            <w:vAlign w:val="center"/>
          </w:tcPr>
          <w:p w:rsidR="00F42378" w:rsidRPr="00A25EF4" w:rsidRDefault="00B448BC" w:rsidP="00A25EF4">
            <w:pPr>
              <w:spacing w:line="360" w:lineRule="auto"/>
              <w:jc w:val="center"/>
              <w:rPr>
                <w:sz w:val="18"/>
                <w:szCs w:val="20"/>
              </w:rPr>
            </w:pPr>
            <w:r>
              <w:rPr>
                <w:sz w:val="18"/>
                <w:szCs w:val="20"/>
              </w:rPr>
              <w:t>-0</w:t>
            </w:r>
            <w:r w:rsidR="00F42378" w:rsidRPr="00A25EF4">
              <w:rPr>
                <w:sz w:val="18"/>
                <w:szCs w:val="20"/>
              </w:rPr>
              <w:t>,</w:t>
            </w:r>
            <w:r>
              <w:rPr>
                <w:sz w:val="18"/>
                <w:szCs w:val="20"/>
              </w:rPr>
              <w:t>9</w:t>
            </w:r>
          </w:p>
        </w:tc>
        <w:tc>
          <w:tcPr>
            <w:tcW w:w="991" w:type="dxa"/>
            <w:vAlign w:val="center"/>
          </w:tcPr>
          <w:p w:rsidR="00F42378" w:rsidRPr="00A25EF4" w:rsidRDefault="00A25EF4" w:rsidP="00992861">
            <w:pPr>
              <w:spacing w:line="360" w:lineRule="auto"/>
              <w:jc w:val="center"/>
              <w:rPr>
                <w:sz w:val="18"/>
                <w:szCs w:val="20"/>
              </w:rPr>
            </w:pPr>
            <w:r w:rsidRPr="00A25EF4">
              <w:rPr>
                <w:sz w:val="18"/>
                <w:szCs w:val="20"/>
              </w:rPr>
              <w:t>-0,</w:t>
            </w:r>
            <w:r w:rsidR="008F3B3D">
              <w:rPr>
                <w:sz w:val="18"/>
                <w:szCs w:val="20"/>
              </w:rPr>
              <w:t>8</w:t>
            </w:r>
          </w:p>
        </w:tc>
      </w:tr>
      <w:tr w:rsidR="00F42378" w:rsidRPr="00A25EF4" w:rsidTr="00992861">
        <w:trPr>
          <w:jc w:val="center"/>
        </w:trPr>
        <w:tc>
          <w:tcPr>
            <w:tcW w:w="3528" w:type="dxa"/>
            <w:vAlign w:val="center"/>
          </w:tcPr>
          <w:p w:rsidR="00F42378" w:rsidRPr="00A25EF4" w:rsidRDefault="00F42378" w:rsidP="00992861">
            <w:pPr>
              <w:spacing w:line="360" w:lineRule="auto"/>
              <w:jc w:val="left"/>
              <w:rPr>
                <w:b/>
                <w:sz w:val="18"/>
                <w:szCs w:val="20"/>
              </w:rPr>
            </w:pPr>
            <w:r w:rsidRPr="00A25EF4">
              <w:rPr>
                <w:b/>
                <w:sz w:val="18"/>
                <w:szCs w:val="20"/>
              </w:rPr>
              <w:t>Total Administraciones Públicas</w:t>
            </w:r>
          </w:p>
        </w:tc>
        <w:tc>
          <w:tcPr>
            <w:tcW w:w="990" w:type="dxa"/>
            <w:vAlign w:val="center"/>
          </w:tcPr>
          <w:p w:rsidR="00F42378" w:rsidRPr="00A25EF4" w:rsidRDefault="00B448BC" w:rsidP="00992861">
            <w:pPr>
              <w:spacing w:line="360" w:lineRule="auto"/>
              <w:jc w:val="center"/>
              <w:rPr>
                <w:b/>
                <w:sz w:val="18"/>
                <w:szCs w:val="20"/>
              </w:rPr>
            </w:pPr>
            <w:r>
              <w:rPr>
                <w:b/>
                <w:sz w:val="18"/>
                <w:szCs w:val="20"/>
              </w:rPr>
              <w:t>-1</w:t>
            </w:r>
            <w:r w:rsidR="00A25EF4" w:rsidRPr="00A25EF4">
              <w:rPr>
                <w:b/>
                <w:sz w:val="18"/>
                <w:szCs w:val="20"/>
              </w:rPr>
              <w:t>,</w:t>
            </w:r>
            <w:r w:rsidR="008F3B3D">
              <w:rPr>
                <w:b/>
                <w:sz w:val="18"/>
                <w:szCs w:val="20"/>
              </w:rPr>
              <w:t>5</w:t>
            </w:r>
          </w:p>
        </w:tc>
        <w:tc>
          <w:tcPr>
            <w:tcW w:w="990" w:type="dxa"/>
            <w:vAlign w:val="center"/>
          </w:tcPr>
          <w:p w:rsidR="00F42378" w:rsidRPr="00A25EF4" w:rsidRDefault="00A25EF4" w:rsidP="00992861">
            <w:pPr>
              <w:spacing w:line="360" w:lineRule="auto"/>
              <w:jc w:val="center"/>
              <w:rPr>
                <w:b/>
                <w:sz w:val="18"/>
                <w:szCs w:val="20"/>
              </w:rPr>
            </w:pPr>
            <w:r w:rsidRPr="00A25EF4">
              <w:rPr>
                <w:b/>
                <w:sz w:val="18"/>
                <w:szCs w:val="20"/>
              </w:rPr>
              <w:t>-1,</w:t>
            </w:r>
            <w:r w:rsidR="008F3B3D">
              <w:rPr>
                <w:b/>
                <w:sz w:val="18"/>
                <w:szCs w:val="20"/>
              </w:rPr>
              <w:t>2</w:t>
            </w:r>
          </w:p>
        </w:tc>
        <w:tc>
          <w:tcPr>
            <w:tcW w:w="991" w:type="dxa"/>
            <w:vAlign w:val="center"/>
          </w:tcPr>
          <w:p w:rsidR="00F42378" w:rsidRPr="00A25EF4" w:rsidRDefault="00A25EF4" w:rsidP="00992861">
            <w:pPr>
              <w:spacing w:line="360" w:lineRule="auto"/>
              <w:jc w:val="center"/>
              <w:rPr>
                <w:b/>
                <w:sz w:val="18"/>
                <w:szCs w:val="20"/>
              </w:rPr>
            </w:pPr>
            <w:r w:rsidRPr="00A25EF4">
              <w:rPr>
                <w:b/>
                <w:sz w:val="18"/>
                <w:szCs w:val="20"/>
              </w:rPr>
              <w:t>-0,</w:t>
            </w:r>
            <w:r w:rsidR="008F3B3D">
              <w:rPr>
                <w:b/>
                <w:sz w:val="18"/>
                <w:szCs w:val="20"/>
              </w:rPr>
              <w:t>9</w:t>
            </w:r>
          </w:p>
        </w:tc>
      </w:tr>
    </w:tbl>
    <w:p w:rsidR="00267792" w:rsidRPr="00905886" w:rsidRDefault="00267792" w:rsidP="007D0B9D">
      <w:pPr>
        <w:spacing w:line="480" w:lineRule="auto"/>
        <w:rPr>
          <w:sz w:val="18"/>
        </w:rPr>
      </w:pPr>
    </w:p>
    <w:p w:rsidR="00992861" w:rsidRPr="00905886" w:rsidRDefault="009D4EFE" w:rsidP="004B6174">
      <w:pPr>
        <w:tabs>
          <w:tab w:val="left" w:pos="6804"/>
        </w:tabs>
        <w:spacing w:after="240" w:line="276" w:lineRule="auto"/>
        <w:rPr>
          <w:sz w:val="18"/>
          <w:szCs w:val="20"/>
        </w:rPr>
      </w:pPr>
      <w:r>
        <w:rPr>
          <w:szCs w:val="20"/>
        </w:rPr>
        <w:t xml:space="preserve">Podemos observar que en el caso de las Entidades Locales, se establece un déficit </w:t>
      </w:r>
      <w:r w:rsidR="007D0B9D">
        <w:rPr>
          <w:rFonts w:cs="Arial"/>
          <w:szCs w:val="20"/>
        </w:rPr>
        <w:t>«</w:t>
      </w:r>
      <w:r>
        <w:rPr>
          <w:szCs w:val="20"/>
        </w:rPr>
        <w:t>cero</w:t>
      </w:r>
      <w:r w:rsidR="007D0B9D">
        <w:rPr>
          <w:rFonts w:cs="Arial"/>
          <w:szCs w:val="20"/>
        </w:rPr>
        <w:t>»</w:t>
      </w:r>
      <w:r>
        <w:rPr>
          <w:szCs w:val="20"/>
        </w:rPr>
        <w:t xml:space="preserve"> para todo el período 20</w:t>
      </w:r>
      <w:r w:rsidR="00152457">
        <w:rPr>
          <w:szCs w:val="20"/>
        </w:rPr>
        <w:t>21</w:t>
      </w:r>
      <w:r>
        <w:rPr>
          <w:szCs w:val="20"/>
        </w:rPr>
        <w:t>-20</w:t>
      </w:r>
      <w:r w:rsidR="00F66039">
        <w:rPr>
          <w:szCs w:val="20"/>
        </w:rPr>
        <w:t>2</w:t>
      </w:r>
      <w:r w:rsidR="00152457">
        <w:rPr>
          <w:szCs w:val="20"/>
        </w:rPr>
        <w:t>3</w:t>
      </w:r>
      <w:r>
        <w:rPr>
          <w:szCs w:val="20"/>
        </w:rPr>
        <w:t>.</w:t>
      </w:r>
      <w:r w:rsidR="007D0B9D">
        <w:rPr>
          <w:szCs w:val="20"/>
        </w:rPr>
        <w:t xml:space="preserve"> Este objetivo </w:t>
      </w:r>
      <w:r w:rsidR="007D0B9D" w:rsidRPr="00A242ED">
        <w:rPr>
          <w:szCs w:val="22"/>
        </w:rPr>
        <w:t>se deriva del artículo 11.4 de la LOEPSF, que establece que para las mismas el «principio de estabilidad presupuestaria» se entenderá como el mantenimiento de una posición de equilibrio o superávit presupuestario, es decir, de forma individual, no deberán presentar necesidad de financiación.</w:t>
      </w:r>
    </w:p>
    <w:p w:rsidR="00E933CD" w:rsidRPr="00A25EF4" w:rsidRDefault="00E933CD" w:rsidP="00A25EF4">
      <w:pPr>
        <w:spacing w:after="240"/>
        <w:ind w:left="567"/>
        <w:rPr>
          <w:b/>
          <w:sz w:val="14"/>
          <w:szCs w:val="16"/>
        </w:rPr>
      </w:pPr>
      <w:r w:rsidRPr="00A25EF4">
        <w:rPr>
          <w:b/>
          <w:sz w:val="18"/>
          <w:szCs w:val="20"/>
        </w:rPr>
        <w:t xml:space="preserve">Tabla 2. Objetivo de deuda pública (en </w:t>
      </w:r>
      <w:r w:rsidR="009D4EFE" w:rsidRPr="00A25EF4">
        <w:rPr>
          <w:b/>
          <w:sz w:val="18"/>
          <w:szCs w:val="20"/>
        </w:rPr>
        <w:t>% d</w:t>
      </w:r>
      <w:r w:rsidRPr="00A25EF4">
        <w:rPr>
          <w:b/>
          <w:sz w:val="18"/>
          <w:szCs w:val="20"/>
        </w:rPr>
        <w:t>el PIB)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3"/>
        <w:gridCol w:w="1295"/>
        <w:gridCol w:w="1295"/>
        <w:gridCol w:w="1295"/>
      </w:tblGrid>
      <w:tr w:rsidR="00E933CD" w:rsidRPr="00A25EF4" w:rsidTr="00152457">
        <w:trPr>
          <w:jc w:val="center"/>
        </w:trPr>
        <w:tc>
          <w:tcPr>
            <w:tcW w:w="3603" w:type="dxa"/>
            <w:vAlign w:val="center"/>
          </w:tcPr>
          <w:p w:rsidR="00E933CD" w:rsidRPr="00A25EF4" w:rsidRDefault="00E933CD" w:rsidP="009D4EFE">
            <w:pPr>
              <w:spacing w:line="360" w:lineRule="auto"/>
              <w:jc w:val="center"/>
              <w:rPr>
                <w:b/>
                <w:sz w:val="18"/>
                <w:szCs w:val="20"/>
              </w:rPr>
            </w:pPr>
          </w:p>
        </w:tc>
        <w:tc>
          <w:tcPr>
            <w:tcW w:w="1295" w:type="dxa"/>
            <w:vAlign w:val="center"/>
          </w:tcPr>
          <w:p w:rsidR="00E933CD" w:rsidRPr="00A25EF4" w:rsidRDefault="00267792" w:rsidP="00F66039">
            <w:pPr>
              <w:jc w:val="center"/>
              <w:rPr>
                <w:b/>
                <w:sz w:val="18"/>
                <w:szCs w:val="20"/>
              </w:rPr>
            </w:pPr>
            <w:r w:rsidRPr="00A25EF4">
              <w:rPr>
                <w:b/>
                <w:sz w:val="18"/>
                <w:szCs w:val="20"/>
              </w:rPr>
              <w:t>20</w:t>
            </w:r>
            <w:r w:rsidR="00152457">
              <w:rPr>
                <w:b/>
                <w:sz w:val="18"/>
                <w:szCs w:val="20"/>
              </w:rPr>
              <w:t>21</w:t>
            </w:r>
          </w:p>
        </w:tc>
        <w:tc>
          <w:tcPr>
            <w:tcW w:w="1295" w:type="dxa"/>
            <w:vAlign w:val="center"/>
          </w:tcPr>
          <w:p w:rsidR="00E933CD" w:rsidRPr="00A25EF4" w:rsidRDefault="00267792" w:rsidP="00F66039">
            <w:pPr>
              <w:jc w:val="center"/>
              <w:rPr>
                <w:b/>
                <w:sz w:val="18"/>
                <w:szCs w:val="20"/>
              </w:rPr>
            </w:pPr>
            <w:r w:rsidRPr="00A25EF4">
              <w:rPr>
                <w:b/>
                <w:sz w:val="18"/>
                <w:szCs w:val="20"/>
              </w:rPr>
              <w:t>20</w:t>
            </w:r>
            <w:r w:rsidR="00F66039">
              <w:rPr>
                <w:b/>
                <w:sz w:val="18"/>
                <w:szCs w:val="20"/>
              </w:rPr>
              <w:t>2</w:t>
            </w:r>
            <w:r w:rsidR="00152457">
              <w:rPr>
                <w:b/>
                <w:sz w:val="18"/>
                <w:szCs w:val="20"/>
              </w:rPr>
              <w:t>2</w:t>
            </w:r>
          </w:p>
        </w:tc>
        <w:tc>
          <w:tcPr>
            <w:tcW w:w="1295" w:type="dxa"/>
            <w:vAlign w:val="center"/>
          </w:tcPr>
          <w:p w:rsidR="00E933CD" w:rsidRPr="00A25EF4" w:rsidRDefault="00267792" w:rsidP="00F66039">
            <w:pPr>
              <w:jc w:val="center"/>
              <w:rPr>
                <w:b/>
                <w:sz w:val="18"/>
                <w:szCs w:val="20"/>
              </w:rPr>
            </w:pPr>
            <w:r w:rsidRPr="00A25EF4">
              <w:rPr>
                <w:b/>
                <w:sz w:val="18"/>
                <w:szCs w:val="20"/>
              </w:rPr>
              <w:t>20</w:t>
            </w:r>
            <w:r w:rsidR="00A25EF4" w:rsidRPr="00A25EF4">
              <w:rPr>
                <w:b/>
                <w:sz w:val="18"/>
                <w:szCs w:val="20"/>
              </w:rPr>
              <w:t>2</w:t>
            </w:r>
            <w:r w:rsidR="00152457">
              <w:rPr>
                <w:b/>
                <w:sz w:val="18"/>
                <w:szCs w:val="20"/>
              </w:rPr>
              <w:t>3</w:t>
            </w:r>
          </w:p>
        </w:tc>
      </w:tr>
      <w:tr w:rsidR="00E933CD" w:rsidRPr="00A25EF4" w:rsidTr="00152457">
        <w:trPr>
          <w:jc w:val="center"/>
        </w:trPr>
        <w:tc>
          <w:tcPr>
            <w:tcW w:w="3603" w:type="dxa"/>
            <w:vAlign w:val="center"/>
          </w:tcPr>
          <w:p w:rsidR="00E933CD" w:rsidRPr="00A25EF4" w:rsidRDefault="00E933CD" w:rsidP="009D4EFE">
            <w:pPr>
              <w:spacing w:line="276" w:lineRule="auto"/>
              <w:jc w:val="left"/>
              <w:rPr>
                <w:sz w:val="18"/>
                <w:szCs w:val="20"/>
              </w:rPr>
            </w:pPr>
            <w:r w:rsidRPr="00A25EF4">
              <w:rPr>
                <w:sz w:val="18"/>
                <w:szCs w:val="20"/>
              </w:rPr>
              <w:t>Administración Central</w:t>
            </w:r>
            <w:r w:rsidR="00152457">
              <w:rPr>
                <w:sz w:val="18"/>
                <w:szCs w:val="20"/>
              </w:rPr>
              <w:t xml:space="preserve"> y Seguridad Social</w:t>
            </w:r>
          </w:p>
        </w:tc>
        <w:tc>
          <w:tcPr>
            <w:tcW w:w="1295" w:type="dxa"/>
            <w:vAlign w:val="bottom"/>
          </w:tcPr>
          <w:p w:rsidR="00E933CD" w:rsidRPr="00A25EF4" w:rsidRDefault="00152457" w:rsidP="007A6B49">
            <w:pPr>
              <w:spacing w:line="360" w:lineRule="auto"/>
              <w:jc w:val="center"/>
              <w:rPr>
                <w:sz w:val="18"/>
                <w:szCs w:val="20"/>
              </w:rPr>
            </w:pPr>
            <w:r>
              <w:rPr>
                <w:sz w:val="18"/>
                <w:szCs w:val="20"/>
              </w:rPr>
              <w:t>68,6</w:t>
            </w:r>
          </w:p>
        </w:tc>
        <w:tc>
          <w:tcPr>
            <w:tcW w:w="1295" w:type="dxa"/>
            <w:vAlign w:val="bottom"/>
          </w:tcPr>
          <w:p w:rsidR="00E933CD" w:rsidRPr="00A25EF4" w:rsidRDefault="00152457" w:rsidP="00F66039">
            <w:pPr>
              <w:spacing w:line="360" w:lineRule="auto"/>
              <w:jc w:val="center"/>
              <w:rPr>
                <w:sz w:val="18"/>
                <w:szCs w:val="20"/>
              </w:rPr>
            </w:pPr>
            <w:r>
              <w:rPr>
                <w:sz w:val="18"/>
                <w:szCs w:val="20"/>
              </w:rPr>
              <w:t>67,7</w:t>
            </w:r>
          </w:p>
        </w:tc>
        <w:tc>
          <w:tcPr>
            <w:tcW w:w="1295" w:type="dxa"/>
            <w:vAlign w:val="bottom"/>
          </w:tcPr>
          <w:p w:rsidR="00E933CD" w:rsidRPr="00A25EF4" w:rsidRDefault="00152457" w:rsidP="007A6B49">
            <w:pPr>
              <w:spacing w:line="360" w:lineRule="auto"/>
              <w:jc w:val="center"/>
              <w:rPr>
                <w:sz w:val="18"/>
                <w:szCs w:val="20"/>
              </w:rPr>
            </w:pPr>
            <w:r>
              <w:rPr>
                <w:sz w:val="18"/>
                <w:szCs w:val="20"/>
              </w:rPr>
              <w:t>66,6</w:t>
            </w:r>
          </w:p>
        </w:tc>
      </w:tr>
      <w:tr w:rsidR="00E933CD" w:rsidRPr="00A25EF4" w:rsidTr="00152457">
        <w:trPr>
          <w:jc w:val="center"/>
        </w:trPr>
        <w:tc>
          <w:tcPr>
            <w:tcW w:w="3603" w:type="dxa"/>
            <w:vAlign w:val="center"/>
          </w:tcPr>
          <w:p w:rsidR="00E933CD" w:rsidRPr="00A25EF4" w:rsidRDefault="00E933CD" w:rsidP="009D4EFE">
            <w:pPr>
              <w:spacing w:line="276" w:lineRule="auto"/>
              <w:jc w:val="left"/>
              <w:rPr>
                <w:sz w:val="18"/>
                <w:szCs w:val="20"/>
              </w:rPr>
            </w:pPr>
            <w:r w:rsidRPr="00A25EF4">
              <w:rPr>
                <w:sz w:val="18"/>
                <w:szCs w:val="20"/>
              </w:rPr>
              <w:t>Comunidades Autónomas</w:t>
            </w:r>
          </w:p>
        </w:tc>
        <w:tc>
          <w:tcPr>
            <w:tcW w:w="1295" w:type="dxa"/>
            <w:vAlign w:val="bottom"/>
          </w:tcPr>
          <w:p w:rsidR="00E933CD" w:rsidRPr="00A25EF4" w:rsidRDefault="00152457" w:rsidP="007A6B49">
            <w:pPr>
              <w:spacing w:line="360" w:lineRule="auto"/>
              <w:jc w:val="center"/>
              <w:rPr>
                <w:sz w:val="18"/>
                <w:szCs w:val="20"/>
              </w:rPr>
            </w:pPr>
            <w:r>
              <w:rPr>
                <w:sz w:val="18"/>
                <w:szCs w:val="20"/>
              </w:rPr>
              <w:t>22,8</w:t>
            </w:r>
          </w:p>
        </w:tc>
        <w:tc>
          <w:tcPr>
            <w:tcW w:w="1295" w:type="dxa"/>
            <w:vAlign w:val="bottom"/>
          </w:tcPr>
          <w:p w:rsidR="00E933CD" w:rsidRPr="00A25EF4" w:rsidRDefault="00152457" w:rsidP="007A6B49">
            <w:pPr>
              <w:spacing w:line="360" w:lineRule="auto"/>
              <w:jc w:val="center"/>
              <w:rPr>
                <w:sz w:val="18"/>
                <w:szCs w:val="20"/>
              </w:rPr>
            </w:pPr>
            <w:r>
              <w:rPr>
                <w:sz w:val="18"/>
                <w:szCs w:val="20"/>
              </w:rPr>
              <w:t>22,1</w:t>
            </w:r>
          </w:p>
        </w:tc>
        <w:tc>
          <w:tcPr>
            <w:tcW w:w="1295" w:type="dxa"/>
            <w:vAlign w:val="bottom"/>
          </w:tcPr>
          <w:p w:rsidR="00E933CD" w:rsidRPr="00A25EF4" w:rsidRDefault="00152457" w:rsidP="007A6B49">
            <w:pPr>
              <w:spacing w:line="360" w:lineRule="auto"/>
              <w:jc w:val="center"/>
              <w:rPr>
                <w:sz w:val="18"/>
                <w:szCs w:val="20"/>
              </w:rPr>
            </w:pPr>
            <w:r>
              <w:rPr>
                <w:sz w:val="18"/>
                <w:szCs w:val="20"/>
              </w:rPr>
              <w:t>21,4</w:t>
            </w:r>
          </w:p>
        </w:tc>
      </w:tr>
      <w:tr w:rsidR="00E933CD" w:rsidRPr="00A25EF4" w:rsidTr="00152457">
        <w:trPr>
          <w:jc w:val="center"/>
        </w:trPr>
        <w:tc>
          <w:tcPr>
            <w:tcW w:w="3603" w:type="dxa"/>
            <w:vAlign w:val="center"/>
          </w:tcPr>
          <w:p w:rsidR="00E933CD" w:rsidRPr="00A25EF4" w:rsidRDefault="00E933CD" w:rsidP="009D4EFE">
            <w:pPr>
              <w:spacing w:line="276" w:lineRule="auto"/>
              <w:jc w:val="left"/>
              <w:rPr>
                <w:b/>
                <w:sz w:val="18"/>
                <w:szCs w:val="20"/>
              </w:rPr>
            </w:pPr>
            <w:r w:rsidRPr="00A25EF4">
              <w:rPr>
                <w:b/>
                <w:sz w:val="18"/>
                <w:szCs w:val="20"/>
              </w:rPr>
              <w:t>Entidades Locales</w:t>
            </w:r>
          </w:p>
        </w:tc>
        <w:tc>
          <w:tcPr>
            <w:tcW w:w="1295" w:type="dxa"/>
            <w:vAlign w:val="bottom"/>
          </w:tcPr>
          <w:p w:rsidR="00E933CD" w:rsidRPr="006F21B0" w:rsidRDefault="00152457" w:rsidP="007A6B49">
            <w:pPr>
              <w:spacing w:line="360" w:lineRule="auto"/>
              <w:jc w:val="center"/>
              <w:rPr>
                <w:b/>
                <w:bCs/>
                <w:sz w:val="18"/>
                <w:szCs w:val="20"/>
              </w:rPr>
            </w:pPr>
            <w:r w:rsidRPr="006F21B0">
              <w:rPr>
                <w:b/>
                <w:bCs/>
                <w:sz w:val="18"/>
                <w:szCs w:val="20"/>
              </w:rPr>
              <w:t>2,0</w:t>
            </w:r>
          </w:p>
        </w:tc>
        <w:tc>
          <w:tcPr>
            <w:tcW w:w="1295" w:type="dxa"/>
            <w:vAlign w:val="bottom"/>
          </w:tcPr>
          <w:p w:rsidR="00E933CD" w:rsidRPr="006F21B0" w:rsidRDefault="00152457" w:rsidP="007A6B49">
            <w:pPr>
              <w:spacing w:line="360" w:lineRule="auto"/>
              <w:jc w:val="center"/>
              <w:rPr>
                <w:b/>
                <w:bCs/>
                <w:sz w:val="18"/>
                <w:szCs w:val="20"/>
              </w:rPr>
            </w:pPr>
            <w:r w:rsidRPr="006F21B0">
              <w:rPr>
                <w:b/>
                <w:bCs/>
                <w:sz w:val="18"/>
                <w:szCs w:val="20"/>
              </w:rPr>
              <w:t>1,9</w:t>
            </w:r>
          </w:p>
        </w:tc>
        <w:tc>
          <w:tcPr>
            <w:tcW w:w="1295" w:type="dxa"/>
            <w:vAlign w:val="bottom"/>
          </w:tcPr>
          <w:p w:rsidR="00E933CD" w:rsidRPr="006F21B0" w:rsidRDefault="00152457" w:rsidP="007A6B49">
            <w:pPr>
              <w:spacing w:line="360" w:lineRule="auto"/>
              <w:jc w:val="center"/>
              <w:rPr>
                <w:b/>
                <w:bCs/>
                <w:sz w:val="18"/>
                <w:szCs w:val="20"/>
              </w:rPr>
            </w:pPr>
            <w:r w:rsidRPr="006F21B0">
              <w:rPr>
                <w:b/>
                <w:bCs/>
                <w:sz w:val="18"/>
                <w:szCs w:val="20"/>
              </w:rPr>
              <w:t>1,8</w:t>
            </w:r>
          </w:p>
        </w:tc>
      </w:tr>
      <w:tr w:rsidR="00E933CD" w:rsidRPr="00A25EF4" w:rsidTr="00152457">
        <w:trPr>
          <w:jc w:val="center"/>
        </w:trPr>
        <w:tc>
          <w:tcPr>
            <w:tcW w:w="3603" w:type="dxa"/>
            <w:vAlign w:val="center"/>
          </w:tcPr>
          <w:p w:rsidR="00E933CD" w:rsidRPr="00A25EF4" w:rsidRDefault="00E933CD" w:rsidP="009D4EFE">
            <w:pPr>
              <w:spacing w:line="276" w:lineRule="auto"/>
              <w:jc w:val="left"/>
              <w:rPr>
                <w:b/>
                <w:sz w:val="18"/>
                <w:szCs w:val="20"/>
              </w:rPr>
            </w:pPr>
            <w:r w:rsidRPr="00A25EF4">
              <w:rPr>
                <w:b/>
                <w:sz w:val="18"/>
                <w:szCs w:val="20"/>
              </w:rPr>
              <w:t>Total Administraciones Públicas</w:t>
            </w:r>
          </w:p>
        </w:tc>
        <w:tc>
          <w:tcPr>
            <w:tcW w:w="1295" w:type="dxa"/>
            <w:vAlign w:val="bottom"/>
          </w:tcPr>
          <w:p w:rsidR="00E933CD" w:rsidRPr="00A25EF4" w:rsidRDefault="00152457" w:rsidP="00F66039">
            <w:pPr>
              <w:spacing w:line="360" w:lineRule="auto"/>
              <w:jc w:val="center"/>
              <w:rPr>
                <w:b/>
                <w:sz w:val="18"/>
                <w:szCs w:val="20"/>
              </w:rPr>
            </w:pPr>
            <w:r>
              <w:rPr>
                <w:b/>
                <w:sz w:val="18"/>
                <w:szCs w:val="20"/>
              </w:rPr>
              <w:t>93,4</w:t>
            </w:r>
          </w:p>
        </w:tc>
        <w:tc>
          <w:tcPr>
            <w:tcW w:w="1295" w:type="dxa"/>
            <w:vAlign w:val="bottom"/>
          </w:tcPr>
          <w:p w:rsidR="00E933CD" w:rsidRPr="00A25EF4" w:rsidRDefault="00152457" w:rsidP="00F66039">
            <w:pPr>
              <w:spacing w:line="360" w:lineRule="auto"/>
              <w:jc w:val="center"/>
              <w:rPr>
                <w:b/>
                <w:sz w:val="18"/>
                <w:szCs w:val="20"/>
              </w:rPr>
            </w:pPr>
            <w:r>
              <w:rPr>
                <w:b/>
                <w:sz w:val="18"/>
                <w:szCs w:val="20"/>
              </w:rPr>
              <w:t>91,7</w:t>
            </w:r>
          </w:p>
        </w:tc>
        <w:tc>
          <w:tcPr>
            <w:tcW w:w="1295" w:type="dxa"/>
            <w:vAlign w:val="bottom"/>
          </w:tcPr>
          <w:p w:rsidR="00E933CD" w:rsidRPr="00A25EF4" w:rsidRDefault="00152457" w:rsidP="007A6B49">
            <w:pPr>
              <w:spacing w:line="360" w:lineRule="auto"/>
              <w:jc w:val="center"/>
              <w:rPr>
                <w:b/>
                <w:sz w:val="18"/>
                <w:szCs w:val="20"/>
              </w:rPr>
            </w:pPr>
            <w:r>
              <w:rPr>
                <w:b/>
                <w:sz w:val="18"/>
                <w:szCs w:val="20"/>
              </w:rPr>
              <w:t>89,78</w:t>
            </w:r>
          </w:p>
        </w:tc>
      </w:tr>
    </w:tbl>
    <w:p w:rsidR="00E933CD" w:rsidRPr="00905886" w:rsidRDefault="00E933CD" w:rsidP="00E933CD">
      <w:pPr>
        <w:spacing w:line="480" w:lineRule="auto"/>
        <w:rPr>
          <w:sz w:val="18"/>
        </w:rPr>
      </w:pPr>
    </w:p>
    <w:p w:rsidR="00CC6D58" w:rsidRDefault="007D0B9D" w:rsidP="004B6174">
      <w:pPr>
        <w:spacing w:after="240" w:line="276" w:lineRule="auto"/>
      </w:pPr>
      <w:r w:rsidRPr="00A242ED">
        <w:rPr>
          <w:szCs w:val="22"/>
        </w:rPr>
        <w:t>En cuanto a los obj</w:t>
      </w:r>
      <w:r>
        <w:rPr>
          <w:szCs w:val="22"/>
        </w:rPr>
        <w:t>etivos de deuda pública</w:t>
      </w:r>
      <w:r w:rsidRPr="00A242ED">
        <w:rPr>
          <w:szCs w:val="22"/>
        </w:rPr>
        <w:t>, deben entenderse como límite a mayor endeudamiento, por lo que la variación de pasivos financieros (capítulo 9 de ingresos menos el mismo capítulo de gastos), deberá ser nula o negativa.</w:t>
      </w:r>
    </w:p>
    <w:p w:rsidR="00E933CD" w:rsidRPr="00A25EF4" w:rsidRDefault="00E933CD" w:rsidP="00CC620A">
      <w:pPr>
        <w:tabs>
          <w:tab w:val="left" w:pos="1843"/>
        </w:tabs>
        <w:spacing w:after="240"/>
        <w:ind w:left="1843" w:hanging="567"/>
        <w:rPr>
          <w:b/>
          <w:sz w:val="18"/>
          <w:szCs w:val="20"/>
        </w:rPr>
      </w:pPr>
      <w:r w:rsidRPr="00A25EF4">
        <w:rPr>
          <w:b/>
          <w:sz w:val="18"/>
          <w:szCs w:val="20"/>
        </w:rPr>
        <w:t xml:space="preserve">Tabla 3. </w:t>
      </w:r>
      <w:r w:rsidR="009D4EFE" w:rsidRPr="00A25EF4">
        <w:rPr>
          <w:b/>
          <w:sz w:val="18"/>
          <w:szCs w:val="20"/>
        </w:rPr>
        <w:t>Tasa de referencia nominal (regla de gasto,</w:t>
      </w:r>
      <w:r w:rsidR="003B7AFA" w:rsidRPr="00A25EF4">
        <w:rPr>
          <w:b/>
          <w:sz w:val="18"/>
          <w:szCs w:val="20"/>
        </w:rPr>
        <w:t xml:space="preserve"> variación</w:t>
      </w:r>
      <w:r w:rsidR="00CC620A">
        <w:rPr>
          <w:b/>
          <w:sz w:val="18"/>
          <w:szCs w:val="20"/>
        </w:rPr>
        <w:t xml:space="preserve"> </w:t>
      </w:r>
      <w:r w:rsidR="003B7AFA" w:rsidRPr="00A25EF4">
        <w:rPr>
          <w:b/>
          <w:sz w:val="18"/>
          <w:szCs w:val="20"/>
        </w:rPr>
        <w:t>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680"/>
        <w:gridCol w:w="1680"/>
      </w:tblGrid>
      <w:tr w:rsidR="00E933CD" w:rsidRPr="00A25EF4" w:rsidTr="00A25EF4">
        <w:trPr>
          <w:trHeight w:val="243"/>
          <w:jc w:val="center"/>
        </w:trPr>
        <w:tc>
          <w:tcPr>
            <w:tcW w:w="1680" w:type="dxa"/>
            <w:vAlign w:val="bottom"/>
          </w:tcPr>
          <w:p w:rsidR="00E933CD" w:rsidRPr="00A25EF4" w:rsidRDefault="003B7AFA" w:rsidP="00F66039">
            <w:pPr>
              <w:spacing w:line="360" w:lineRule="auto"/>
              <w:jc w:val="center"/>
              <w:rPr>
                <w:b/>
                <w:sz w:val="18"/>
                <w:szCs w:val="20"/>
              </w:rPr>
            </w:pPr>
            <w:r w:rsidRPr="00A25EF4">
              <w:rPr>
                <w:b/>
                <w:sz w:val="18"/>
                <w:szCs w:val="20"/>
              </w:rPr>
              <w:t>20</w:t>
            </w:r>
            <w:r w:rsidR="00CC620A">
              <w:rPr>
                <w:b/>
                <w:sz w:val="18"/>
                <w:szCs w:val="20"/>
              </w:rPr>
              <w:t>21</w:t>
            </w:r>
          </w:p>
        </w:tc>
        <w:tc>
          <w:tcPr>
            <w:tcW w:w="1680" w:type="dxa"/>
            <w:vAlign w:val="bottom"/>
          </w:tcPr>
          <w:p w:rsidR="00E933CD" w:rsidRPr="00A25EF4" w:rsidRDefault="003B7AFA" w:rsidP="00F66039">
            <w:pPr>
              <w:spacing w:line="360" w:lineRule="auto"/>
              <w:jc w:val="center"/>
              <w:rPr>
                <w:b/>
                <w:sz w:val="18"/>
                <w:szCs w:val="20"/>
              </w:rPr>
            </w:pPr>
            <w:r w:rsidRPr="00A25EF4">
              <w:rPr>
                <w:b/>
                <w:sz w:val="18"/>
                <w:szCs w:val="20"/>
              </w:rPr>
              <w:t>20</w:t>
            </w:r>
            <w:r w:rsidR="00F66039">
              <w:rPr>
                <w:b/>
                <w:sz w:val="18"/>
                <w:szCs w:val="20"/>
              </w:rPr>
              <w:t>2</w:t>
            </w:r>
            <w:r w:rsidR="00CC620A">
              <w:rPr>
                <w:b/>
                <w:sz w:val="18"/>
                <w:szCs w:val="20"/>
              </w:rPr>
              <w:t>2</w:t>
            </w:r>
          </w:p>
        </w:tc>
        <w:tc>
          <w:tcPr>
            <w:tcW w:w="1680" w:type="dxa"/>
            <w:vAlign w:val="bottom"/>
          </w:tcPr>
          <w:p w:rsidR="00E933CD" w:rsidRPr="00A25EF4" w:rsidRDefault="003B7AFA" w:rsidP="00A25EF4">
            <w:pPr>
              <w:spacing w:line="360" w:lineRule="auto"/>
              <w:jc w:val="center"/>
              <w:rPr>
                <w:b/>
                <w:sz w:val="18"/>
                <w:szCs w:val="20"/>
              </w:rPr>
            </w:pPr>
            <w:r w:rsidRPr="00A25EF4">
              <w:rPr>
                <w:b/>
                <w:sz w:val="18"/>
                <w:szCs w:val="20"/>
              </w:rPr>
              <w:t>20</w:t>
            </w:r>
            <w:r w:rsidR="00F66039">
              <w:rPr>
                <w:b/>
                <w:sz w:val="18"/>
                <w:szCs w:val="20"/>
              </w:rPr>
              <w:t>21</w:t>
            </w:r>
          </w:p>
        </w:tc>
      </w:tr>
      <w:tr w:rsidR="00E933CD" w:rsidRPr="00A25EF4" w:rsidTr="00A25EF4">
        <w:trPr>
          <w:trHeight w:val="264"/>
          <w:jc w:val="center"/>
        </w:trPr>
        <w:tc>
          <w:tcPr>
            <w:tcW w:w="1680" w:type="dxa"/>
            <w:vAlign w:val="bottom"/>
          </w:tcPr>
          <w:p w:rsidR="00E933CD" w:rsidRPr="00A25EF4" w:rsidRDefault="009D4EFE" w:rsidP="00A25EF4">
            <w:pPr>
              <w:spacing w:line="360" w:lineRule="auto"/>
              <w:jc w:val="center"/>
              <w:rPr>
                <w:sz w:val="18"/>
                <w:szCs w:val="20"/>
              </w:rPr>
            </w:pPr>
            <w:r w:rsidRPr="00A25EF4">
              <w:rPr>
                <w:sz w:val="18"/>
                <w:szCs w:val="20"/>
              </w:rPr>
              <w:t>2,</w:t>
            </w:r>
            <w:r w:rsidR="00F66039">
              <w:rPr>
                <w:sz w:val="18"/>
                <w:szCs w:val="20"/>
              </w:rPr>
              <w:t>7</w:t>
            </w:r>
          </w:p>
        </w:tc>
        <w:tc>
          <w:tcPr>
            <w:tcW w:w="1680" w:type="dxa"/>
            <w:vAlign w:val="bottom"/>
          </w:tcPr>
          <w:p w:rsidR="00E933CD" w:rsidRPr="00A25EF4" w:rsidRDefault="00CC620A" w:rsidP="00A25EF4">
            <w:pPr>
              <w:spacing w:line="360" w:lineRule="auto"/>
              <w:jc w:val="center"/>
              <w:rPr>
                <w:sz w:val="18"/>
                <w:szCs w:val="20"/>
              </w:rPr>
            </w:pPr>
            <w:r>
              <w:rPr>
                <w:sz w:val="18"/>
                <w:szCs w:val="20"/>
              </w:rPr>
              <w:t>3,2</w:t>
            </w:r>
          </w:p>
        </w:tc>
        <w:tc>
          <w:tcPr>
            <w:tcW w:w="1680" w:type="dxa"/>
            <w:vAlign w:val="bottom"/>
          </w:tcPr>
          <w:p w:rsidR="00E933CD" w:rsidRPr="00A25EF4" w:rsidRDefault="00F66039" w:rsidP="00A25EF4">
            <w:pPr>
              <w:spacing w:line="360" w:lineRule="auto"/>
              <w:jc w:val="center"/>
              <w:rPr>
                <w:sz w:val="18"/>
                <w:szCs w:val="20"/>
              </w:rPr>
            </w:pPr>
            <w:r>
              <w:rPr>
                <w:sz w:val="18"/>
                <w:szCs w:val="20"/>
              </w:rPr>
              <w:t>3,</w:t>
            </w:r>
            <w:r w:rsidR="00CC620A">
              <w:rPr>
                <w:sz w:val="18"/>
                <w:szCs w:val="20"/>
              </w:rPr>
              <w:t>3</w:t>
            </w:r>
          </w:p>
        </w:tc>
      </w:tr>
    </w:tbl>
    <w:p w:rsidR="00CC620A" w:rsidRDefault="00CC620A" w:rsidP="007D0B9D">
      <w:pPr>
        <w:spacing w:line="480" w:lineRule="auto"/>
      </w:pPr>
    </w:p>
    <w:p w:rsidR="00CC620A" w:rsidRPr="0094499A" w:rsidRDefault="00CC620A" w:rsidP="00CC620A">
      <w:pPr>
        <w:spacing w:after="240" w:line="276" w:lineRule="auto"/>
        <w:rPr>
          <w:szCs w:val="22"/>
        </w:rPr>
      </w:pPr>
      <w:r w:rsidRPr="00CC620A">
        <w:rPr>
          <w:szCs w:val="22"/>
        </w:rPr>
        <w:t>Sin embargo, hay que tener en cuenta que la LOEPSF trae causa de la normativa de la Unión Europea en materia de estabilidad, coordinación y gobernanza de las Administraciones Públicas. En este marco, la declaración del Consejo de la Unión Europea del 23 de marzo</w:t>
      </w:r>
      <w:r w:rsidR="00F42D57">
        <w:rPr>
          <w:szCs w:val="22"/>
        </w:rPr>
        <w:t xml:space="preserve"> de 2020</w:t>
      </w:r>
      <w:r w:rsidRPr="00CC620A">
        <w:rPr>
          <w:szCs w:val="22"/>
        </w:rPr>
        <w:t xml:space="preserve"> sobre el Pacto de Estabilidad y Crecimiento en </w:t>
      </w:r>
      <w:r w:rsidRPr="0094499A">
        <w:rPr>
          <w:szCs w:val="22"/>
        </w:rPr>
        <w:lastRenderedPageBreak/>
        <w:t>relación con la crisis de la COVD-19, acuerda activar la cláusula de salvaguardia con el fin de atender las consecuencias económicas de la pandemia.</w:t>
      </w:r>
    </w:p>
    <w:p w:rsidR="00CC620A" w:rsidRPr="0094499A" w:rsidRDefault="00CC620A" w:rsidP="00CC620A">
      <w:pPr>
        <w:pStyle w:val="Default"/>
        <w:spacing w:after="240" w:line="276" w:lineRule="auto"/>
        <w:jc w:val="both"/>
        <w:rPr>
          <w:sz w:val="22"/>
          <w:szCs w:val="22"/>
        </w:rPr>
      </w:pPr>
      <w:r w:rsidRPr="0094499A">
        <w:rPr>
          <w:sz w:val="22"/>
          <w:szCs w:val="22"/>
        </w:rPr>
        <w:t xml:space="preserve">El Congreso de los Diputados ha apreciado que España sufre una emergencia extraordinaria por la pandemia de la COVID-19 que justifica la suspensión temporal de las reglas fiscales en 2020 y 2021. Este posicionamiento en cumplimiento de la Constitución Española y la Ley de Estabilidad, ha sido aprobado en la Cámara Baja por amplia mayoría absoluta. Por tanto, </w:t>
      </w:r>
      <w:r w:rsidRPr="0094499A">
        <w:rPr>
          <w:b/>
          <w:bCs/>
          <w:sz w:val="22"/>
          <w:szCs w:val="22"/>
        </w:rPr>
        <w:t xml:space="preserve">no son exigibles las reglas fiscales contenidas en la LOEPSF en los ejercicios indicados y la suspensión y, </w:t>
      </w:r>
      <w:r w:rsidR="00167FD9" w:rsidRPr="0094499A">
        <w:rPr>
          <w:b/>
          <w:bCs/>
          <w:sz w:val="22"/>
          <w:szCs w:val="22"/>
        </w:rPr>
        <w:t>por lo tanto, la no vigencia de las tasas de variación para 2020 y 2021-2023 aprobadas por acuerdo de Consejo de Ministros de 11 de febrero de 2020</w:t>
      </w:r>
      <w:r w:rsidRPr="0094499A">
        <w:rPr>
          <w:sz w:val="22"/>
          <w:szCs w:val="22"/>
        </w:rPr>
        <w:t>.</w:t>
      </w:r>
    </w:p>
    <w:p w:rsidR="00167FD9" w:rsidRPr="0094499A" w:rsidRDefault="00167FD9" w:rsidP="00CC620A">
      <w:pPr>
        <w:pStyle w:val="Default"/>
        <w:spacing w:after="240" w:line="276" w:lineRule="auto"/>
        <w:jc w:val="both"/>
        <w:rPr>
          <w:sz w:val="22"/>
          <w:szCs w:val="22"/>
        </w:rPr>
      </w:pPr>
      <w:r w:rsidRPr="0094499A">
        <w:rPr>
          <w:sz w:val="22"/>
          <w:szCs w:val="22"/>
        </w:rPr>
        <w:t>En consecuencia, el Ministerio de Hacienda ha modificado el formulario F.2.3, eliminando del mismo la valoración relativa al cumplimiento de la regla de gasto.</w:t>
      </w:r>
    </w:p>
    <w:p w:rsidR="00E933CD" w:rsidRPr="0094499A" w:rsidRDefault="00E933CD" w:rsidP="00A25EF4">
      <w:pPr>
        <w:spacing w:after="240" w:line="276" w:lineRule="auto"/>
        <w:rPr>
          <w:b/>
          <w:szCs w:val="22"/>
        </w:rPr>
      </w:pPr>
      <w:r w:rsidRPr="0094499A">
        <w:rPr>
          <w:b/>
          <w:szCs w:val="22"/>
        </w:rPr>
        <w:t>3. Supuestos sobre el escenario macroeconómico nacional</w:t>
      </w:r>
    </w:p>
    <w:p w:rsidR="00E933CD" w:rsidRPr="0094499A" w:rsidRDefault="00E933CD" w:rsidP="00A25EF4">
      <w:pPr>
        <w:spacing w:after="240" w:line="276" w:lineRule="auto"/>
        <w:rPr>
          <w:szCs w:val="22"/>
        </w:rPr>
      </w:pPr>
      <w:r w:rsidRPr="0094499A">
        <w:rPr>
          <w:szCs w:val="22"/>
        </w:rPr>
        <w:t>La necesidad de tener en cuenta el escenario macroeconómico nacional en la elaboración del marco presupuestario municipal (es decir, de contextualizar la economía municipal) responde a varios hechos. El primero, que los ayuntamientos no son sino un conjunto de economías perfectamente abiertas e integradas en una realidad estatal más amplia.</w:t>
      </w:r>
    </w:p>
    <w:p w:rsidR="00E933CD" w:rsidRPr="00A242ED" w:rsidRDefault="00E933CD" w:rsidP="00A25EF4">
      <w:pPr>
        <w:spacing w:after="240" w:line="276" w:lineRule="auto"/>
        <w:rPr>
          <w:rFonts w:cs="Arial"/>
          <w:szCs w:val="22"/>
        </w:rPr>
      </w:pPr>
      <w:r w:rsidRPr="00A242ED">
        <w:rPr>
          <w:szCs w:val="22"/>
        </w:rPr>
        <w:t xml:space="preserve">El segundo, la existencia </w:t>
      </w:r>
      <w:r w:rsidRPr="00A242ED">
        <w:rPr>
          <w:rFonts w:cs="Arial"/>
          <w:szCs w:val="22"/>
        </w:rPr>
        <w:t>─</w:t>
      </w:r>
      <w:r w:rsidRPr="00A242ED">
        <w:rPr>
          <w:szCs w:val="22"/>
        </w:rPr>
        <w:t>al igual que ocurre con las comunidades autónomas</w:t>
      </w:r>
      <w:r w:rsidRPr="00A242ED">
        <w:rPr>
          <w:rFonts w:cs="Arial"/>
          <w:szCs w:val="22"/>
        </w:rPr>
        <w:t xml:space="preserve">─ de un elevado grado de sincronía entre el ciclo económico municipal y el nacional. Es plausible suponer que la evolución del desempleo y de la actividad económica, si no respecto a su valor cuantitativo sí en cuanto a su signo negativo o positivo, sigan el mismo camino en el municipio que en el conjunto del país. </w:t>
      </w:r>
      <w:r w:rsidR="007D0B9D">
        <w:rPr>
          <w:rFonts w:cs="Arial"/>
          <w:szCs w:val="22"/>
        </w:rPr>
        <w:t>Sin duda</w:t>
      </w:r>
      <w:r w:rsidRPr="00A242ED">
        <w:rPr>
          <w:rFonts w:cs="Arial"/>
          <w:szCs w:val="22"/>
        </w:rPr>
        <w:t xml:space="preserve"> la evolución de la actividad económica influye</w:t>
      </w:r>
      <w:r w:rsidR="007D0B9D">
        <w:rPr>
          <w:rFonts w:cs="Arial"/>
          <w:szCs w:val="22"/>
        </w:rPr>
        <w:t xml:space="preserve">, por una parte, </w:t>
      </w:r>
      <w:r w:rsidRPr="00A242ED">
        <w:rPr>
          <w:rFonts w:cs="Arial"/>
          <w:szCs w:val="22"/>
        </w:rPr>
        <w:t>en la recaudación efectiva de los tributos municipales,</w:t>
      </w:r>
      <w:r w:rsidR="007D0B9D">
        <w:rPr>
          <w:rFonts w:cs="Arial"/>
          <w:szCs w:val="22"/>
        </w:rPr>
        <w:t xml:space="preserve"> y por otra, en la participación en los ingresos del Estado, </w:t>
      </w:r>
      <w:r w:rsidR="009C7F44">
        <w:rPr>
          <w:rFonts w:cs="Arial"/>
          <w:szCs w:val="22"/>
        </w:rPr>
        <w:t xml:space="preserve">cuyas principales figuras tributarias son especialmente sensibles al ciclo económico (los impuestos sobre la renta, el valor añadido, y de sociedades). Ambos conceptos constituyen el grueso de </w:t>
      </w:r>
      <w:r w:rsidRPr="00A242ED">
        <w:rPr>
          <w:rFonts w:cs="Arial"/>
          <w:szCs w:val="22"/>
        </w:rPr>
        <w:t>los recursos presupuestarios.</w:t>
      </w:r>
    </w:p>
    <w:p w:rsidR="00E933CD" w:rsidRPr="003D4E7C" w:rsidRDefault="00E933CD" w:rsidP="00A25EF4">
      <w:pPr>
        <w:spacing w:after="240" w:line="276" w:lineRule="auto"/>
      </w:pPr>
      <w:r w:rsidRPr="00A242ED">
        <w:rPr>
          <w:szCs w:val="22"/>
        </w:rPr>
        <w:t xml:space="preserve">Las previsiones que tenemos en cuenta de la evolución de la economía española </w:t>
      </w:r>
      <w:r w:rsidR="00DE3131">
        <w:rPr>
          <w:szCs w:val="22"/>
        </w:rPr>
        <w:t>las efectuadas por el Banco de España</w:t>
      </w:r>
      <w:r w:rsidR="003242B2" w:rsidRPr="006078AD">
        <w:rPr>
          <w:rStyle w:val="Refdenotaalpie"/>
          <w:iCs/>
          <w:szCs w:val="22"/>
        </w:rPr>
        <w:footnoteReference w:id="1"/>
      </w:r>
      <w:r w:rsidR="00080A69">
        <w:rPr>
          <w:szCs w:val="22"/>
        </w:rPr>
        <w:t xml:space="preserve"> (</w:t>
      </w:r>
      <w:r w:rsidR="007E6934">
        <w:rPr>
          <w:szCs w:val="22"/>
        </w:rPr>
        <w:t>tabla 4</w:t>
      </w:r>
      <w:r w:rsidR="00080A69">
        <w:rPr>
          <w:szCs w:val="22"/>
        </w:rPr>
        <w:t>)</w:t>
      </w:r>
      <w:r w:rsidR="007E6934">
        <w:rPr>
          <w:szCs w:val="22"/>
        </w:rPr>
        <w:t>.</w:t>
      </w:r>
    </w:p>
    <w:p w:rsidR="004F049E" w:rsidRDefault="00080A69" w:rsidP="00A25EF4">
      <w:pPr>
        <w:spacing w:after="240" w:line="276" w:lineRule="auto"/>
        <w:rPr>
          <w:szCs w:val="22"/>
        </w:rPr>
      </w:pPr>
      <w:r>
        <w:rPr>
          <w:szCs w:val="22"/>
        </w:rPr>
        <w:t>En sus proyecciones macroeconómicas el Banco de España contempla tres escenarios macro, que difieren, fundamentalmente, en el comportamiento de la pandemia en el corto plazo, las medidas para contenerla, la adaptación de los agentes</w:t>
      </w:r>
      <w:r w:rsidR="006078AD">
        <w:rPr>
          <w:szCs w:val="22"/>
        </w:rPr>
        <w:t xml:space="preserve"> económicos</w:t>
      </w:r>
      <w:r>
        <w:rPr>
          <w:szCs w:val="22"/>
        </w:rPr>
        <w:t xml:space="preserve"> a la crisis y la persistencia de sus efectos en el medio plazo.</w:t>
      </w:r>
    </w:p>
    <w:p w:rsidR="00080A69" w:rsidRDefault="00080A69" w:rsidP="00A25EF4">
      <w:pPr>
        <w:spacing w:after="240" w:line="276" w:lineRule="auto"/>
        <w:rPr>
          <w:szCs w:val="22"/>
        </w:rPr>
      </w:pPr>
      <w:r>
        <w:rPr>
          <w:szCs w:val="22"/>
        </w:rPr>
        <w:lastRenderedPageBreak/>
        <w:t>En un primer escenario, escenario suave, se supone una evolución de la pandemia controlada en los próximos trimestres, con una progresiva relajación de las medidas de contención</w:t>
      </w:r>
      <w:r w:rsidR="00180104">
        <w:rPr>
          <w:szCs w:val="22"/>
        </w:rPr>
        <w:t>, y una adaptación ágil de los agentes económicos a la pandemia y/o las restricciones.</w:t>
      </w:r>
    </w:p>
    <w:p w:rsidR="00180104" w:rsidRDefault="00180104" w:rsidP="00A25EF4">
      <w:pPr>
        <w:spacing w:after="240" w:line="276" w:lineRule="auto"/>
        <w:rPr>
          <w:szCs w:val="22"/>
        </w:rPr>
      </w:pPr>
      <w:r>
        <w:rPr>
          <w:szCs w:val="22"/>
        </w:rPr>
        <w:t>Un segundo escenario, escenario central, contempla la aparición de  nuevos brotes de la enfermedad moderados que exigirían medidas similares a las recientes, y se mantendrían las asimetrías sectoriales en la senda de recuperación.</w:t>
      </w:r>
    </w:p>
    <w:p w:rsidR="00180104" w:rsidRDefault="00180104" w:rsidP="00A25EF4">
      <w:pPr>
        <w:spacing w:after="240" w:line="276" w:lineRule="auto"/>
        <w:rPr>
          <w:szCs w:val="22"/>
        </w:rPr>
      </w:pPr>
      <w:r>
        <w:rPr>
          <w:szCs w:val="22"/>
        </w:rPr>
        <w:t>Finalmente, el tercer escenario, escenario severo, implicaría un rebrote intenso de la pandemia en el corto plazo e inmunidad más tardía, endurecimiento de las medidas de contención, y recuperación y adaptación más limitados.</w:t>
      </w:r>
    </w:p>
    <w:p w:rsidR="00180104" w:rsidRDefault="00180104" w:rsidP="00180104">
      <w:pPr>
        <w:spacing w:before="240" w:line="276" w:lineRule="auto"/>
        <w:rPr>
          <w:b/>
          <w:bCs/>
          <w:sz w:val="18"/>
          <w:szCs w:val="18"/>
        </w:rPr>
      </w:pPr>
      <w:r>
        <w:rPr>
          <w:b/>
          <w:bCs/>
          <w:sz w:val="18"/>
          <w:szCs w:val="18"/>
        </w:rPr>
        <w:t xml:space="preserve">Tabla 4. Proyecciones macroeconómicas para la economía española 2021-2023. </w:t>
      </w:r>
    </w:p>
    <w:p w:rsidR="00180104" w:rsidRPr="006078AD" w:rsidRDefault="00180104" w:rsidP="00180104">
      <w:pPr>
        <w:rPr>
          <w:b/>
          <w:bCs/>
          <w:sz w:val="18"/>
          <w:szCs w:val="18"/>
        </w:rPr>
      </w:pPr>
      <w:r w:rsidRPr="006078AD">
        <w:rPr>
          <w:b/>
          <w:bCs/>
          <w:sz w:val="18"/>
          <w:szCs w:val="18"/>
        </w:rPr>
        <w:t>Tasa de variación anual sobre el volumen y el porcentaje del PIB</w:t>
      </w:r>
    </w:p>
    <w:p w:rsidR="006078AD" w:rsidRPr="006078AD" w:rsidRDefault="006078AD" w:rsidP="00180104">
      <w:pPr>
        <w:rPr>
          <w:b/>
          <w:bCs/>
          <w:sz w:val="18"/>
          <w:szCs w:val="18"/>
        </w:rPr>
      </w:pPr>
    </w:p>
    <w:p w:rsidR="00180104" w:rsidRDefault="00180104" w:rsidP="00180104">
      <w:pPr>
        <w:spacing w:after="240" w:line="276" w:lineRule="auto"/>
        <w:ind w:right="-568" w:hanging="426"/>
        <w:rPr>
          <w:szCs w:val="22"/>
        </w:rPr>
      </w:pPr>
      <w:r w:rsidRPr="002018C7">
        <w:rPr>
          <w:noProof/>
        </w:rPr>
        <w:drawing>
          <wp:inline distT="0" distB="0" distL="0" distR="0">
            <wp:extent cx="5411673" cy="4140846"/>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432092" cy="4156470"/>
                    </a:xfrm>
                    <a:prstGeom prst="rect">
                      <a:avLst/>
                    </a:prstGeom>
                  </pic:spPr>
                </pic:pic>
              </a:graphicData>
            </a:graphic>
          </wp:inline>
        </w:drawing>
      </w:r>
    </w:p>
    <w:p w:rsidR="004B6174" w:rsidRDefault="004B6174">
      <w:pPr>
        <w:jc w:val="left"/>
        <w:rPr>
          <w:szCs w:val="22"/>
        </w:rPr>
      </w:pPr>
      <w:r>
        <w:rPr>
          <w:szCs w:val="22"/>
        </w:rPr>
        <w:br w:type="page"/>
      </w:r>
    </w:p>
    <w:p w:rsidR="002018C7" w:rsidRDefault="002018C7">
      <w:pPr>
        <w:jc w:val="left"/>
        <w:rPr>
          <w:szCs w:val="22"/>
        </w:rPr>
      </w:pPr>
    </w:p>
    <w:p w:rsidR="00046739" w:rsidRDefault="00ED7492" w:rsidP="00046739">
      <w:pPr>
        <w:spacing w:after="240" w:line="276" w:lineRule="auto"/>
        <w:rPr>
          <w:szCs w:val="22"/>
        </w:rPr>
      </w:pPr>
      <w:r>
        <w:rPr>
          <w:szCs w:val="22"/>
        </w:rPr>
        <w:t>En cuanto a las condiciones financieras</w:t>
      </w:r>
      <w:r w:rsidR="00046739">
        <w:rPr>
          <w:szCs w:val="22"/>
        </w:rPr>
        <w:t xml:space="preserve">, no se esperan a corto plazo cambios significativos en la política económica del Banco Central Europeo, por lo que las proyecciones de tipos de interés no muestran cambios </w:t>
      </w:r>
      <w:r w:rsidR="00CF226F">
        <w:rPr>
          <w:szCs w:val="22"/>
        </w:rPr>
        <w:t>relevantes</w:t>
      </w:r>
      <w:r w:rsidR="00046739">
        <w:rPr>
          <w:szCs w:val="22"/>
        </w:rPr>
        <w:t xml:space="preserve"> en los mismos.</w:t>
      </w:r>
    </w:p>
    <w:p w:rsidR="00046739" w:rsidRPr="00046739" w:rsidRDefault="00046739" w:rsidP="002018C7">
      <w:pPr>
        <w:spacing w:line="276" w:lineRule="auto"/>
        <w:jc w:val="center"/>
        <w:rPr>
          <w:b/>
          <w:sz w:val="18"/>
          <w:szCs w:val="22"/>
        </w:rPr>
      </w:pPr>
      <w:r w:rsidRPr="00046739">
        <w:rPr>
          <w:b/>
          <w:sz w:val="18"/>
          <w:szCs w:val="22"/>
        </w:rPr>
        <w:t>Tabla 5. Condiciones financieras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787"/>
        <w:gridCol w:w="787"/>
        <w:gridCol w:w="787"/>
        <w:gridCol w:w="788"/>
      </w:tblGrid>
      <w:tr w:rsidR="00046739" w:rsidRPr="00046739" w:rsidTr="00046739">
        <w:tc>
          <w:tcPr>
            <w:tcW w:w="5495" w:type="dxa"/>
          </w:tcPr>
          <w:p w:rsidR="00046739" w:rsidRPr="00046739" w:rsidRDefault="00046739" w:rsidP="00313ACE">
            <w:pPr>
              <w:spacing w:line="276" w:lineRule="auto"/>
              <w:rPr>
                <w:sz w:val="18"/>
                <w:szCs w:val="22"/>
              </w:rPr>
            </w:pPr>
          </w:p>
        </w:tc>
        <w:tc>
          <w:tcPr>
            <w:tcW w:w="3149" w:type="dxa"/>
            <w:gridSpan w:val="4"/>
            <w:tcBorders>
              <w:bottom w:val="single" w:sz="4" w:space="0" w:color="auto"/>
            </w:tcBorders>
            <w:vAlign w:val="center"/>
          </w:tcPr>
          <w:p w:rsidR="00046739" w:rsidRPr="00046739" w:rsidRDefault="00F90887" w:rsidP="00046739">
            <w:pPr>
              <w:spacing w:line="276" w:lineRule="auto"/>
              <w:jc w:val="center"/>
              <w:rPr>
                <w:sz w:val="18"/>
                <w:szCs w:val="22"/>
              </w:rPr>
            </w:pPr>
            <w:r>
              <w:rPr>
                <w:sz w:val="18"/>
                <w:szCs w:val="22"/>
              </w:rPr>
              <w:t xml:space="preserve">           </w:t>
            </w:r>
            <w:r w:rsidR="00046739">
              <w:rPr>
                <w:sz w:val="18"/>
                <w:szCs w:val="22"/>
              </w:rPr>
              <w:t>Proyecciones</w:t>
            </w:r>
          </w:p>
        </w:tc>
      </w:tr>
      <w:tr w:rsidR="00046739" w:rsidRPr="00046739" w:rsidTr="00046739">
        <w:tc>
          <w:tcPr>
            <w:tcW w:w="5495" w:type="dxa"/>
            <w:tcBorders>
              <w:bottom w:val="single" w:sz="4" w:space="0" w:color="auto"/>
            </w:tcBorders>
          </w:tcPr>
          <w:p w:rsidR="00046739" w:rsidRPr="00046739" w:rsidRDefault="00046739" w:rsidP="00046739">
            <w:pPr>
              <w:spacing w:line="276" w:lineRule="auto"/>
              <w:rPr>
                <w:sz w:val="18"/>
                <w:szCs w:val="22"/>
              </w:rPr>
            </w:pPr>
          </w:p>
        </w:tc>
        <w:tc>
          <w:tcPr>
            <w:tcW w:w="787" w:type="dxa"/>
            <w:tcBorders>
              <w:top w:val="single" w:sz="4" w:space="0" w:color="auto"/>
              <w:bottom w:val="single" w:sz="4" w:space="0" w:color="auto"/>
            </w:tcBorders>
            <w:vAlign w:val="center"/>
          </w:tcPr>
          <w:p w:rsidR="00046739" w:rsidRPr="00046739" w:rsidRDefault="00046739" w:rsidP="00C6372D">
            <w:pPr>
              <w:spacing w:line="276" w:lineRule="auto"/>
              <w:jc w:val="center"/>
              <w:rPr>
                <w:sz w:val="18"/>
                <w:szCs w:val="22"/>
              </w:rPr>
            </w:pPr>
            <w:r w:rsidRPr="00046739">
              <w:rPr>
                <w:sz w:val="18"/>
                <w:szCs w:val="22"/>
              </w:rPr>
              <w:t>20</w:t>
            </w:r>
            <w:r w:rsidR="002018C7">
              <w:rPr>
                <w:sz w:val="18"/>
                <w:szCs w:val="22"/>
              </w:rPr>
              <w:t>20</w:t>
            </w:r>
          </w:p>
        </w:tc>
        <w:tc>
          <w:tcPr>
            <w:tcW w:w="787" w:type="dxa"/>
            <w:tcBorders>
              <w:top w:val="single" w:sz="4" w:space="0" w:color="auto"/>
              <w:bottom w:val="single" w:sz="4" w:space="0" w:color="auto"/>
            </w:tcBorders>
            <w:shd w:val="clear" w:color="auto" w:fill="D9D9D9" w:themeFill="background1" w:themeFillShade="D9"/>
            <w:vAlign w:val="center"/>
          </w:tcPr>
          <w:p w:rsidR="00046739" w:rsidRPr="00046739" w:rsidRDefault="00046739" w:rsidP="00C6372D">
            <w:pPr>
              <w:spacing w:line="276" w:lineRule="auto"/>
              <w:jc w:val="center"/>
              <w:rPr>
                <w:sz w:val="18"/>
                <w:szCs w:val="22"/>
              </w:rPr>
            </w:pPr>
            <w:r w:rsidRPr="00046739">
              <w:rPr>
                <w:sz w:val="18"/>
                <w:szCs w:val="22"/>
              </w:rPr>
              <w:t>20</w:t>
            </w:r>
            <w:r w:rsidR="002018C7">
              <w:rPr>
                <w:sz w:val="18"/>
                <w:szCs w:val="22"/>
              </w:rPr>
              <w:t>21</w:t>
            </w:r>
          </w:p>
        </w:tc>
        <w:tc>
          <w:tcPr>
            <w:tcW w:w="787" w:type="dxa"/>
            <w:tcBorders>
              <w:top w:val="single" w:sz="4" w:space="0" w:color="auto"/>
              <w:bottom w:val="single" w:sz="4" w:space="0" w:color="auto"/>
            </w:tcBorders>
            <w:shd w:val="clear" w:color="auto" w:fill="D9D9D9" w:themeFill="background1" w:themeFillShade="D9"/>
            <w:vAlign w:val="center"/>
          </w:tcPr>
          <w:p w:rsidR="00046739" w:rsidRPr="00046739" w:rsidRDefault="00046739" w:rsidP="00C6372D">
            <w:pPr>
              <w:spacing w:line="276" w:lineRule="auto"/>
              <w:jc w:val="center"/>
              <w:rPr>
                <w:sz w:val="18"/>
                <w:szCs w:val="22"/>
              </w:rPr>
            </w:pPr>
            <w:r w:rsidRPr="00046739">
              <w:rPr>
                <w:sz w:val="18"/>
                <w:szCs w:val="22"/>
              </w:rPr>
              <w:t>20</w:t>
            </w:r>
            <w:r w:rsidR="00C6372D">
              <w:rPr>
                <w:sz w:val="18"/>
                <w:szCs w:val="22"/>
              </w:rPr>
              <w:t>2</w:t>
            </w:r>
            <w:r w:rsidR="002018C7">
              <w:rPr>
                <w:sz w:val="18"/>
                <w:szCs w:val="22"/>
              </w:rPr>
              <w:t>2</w:t>
            </w:r>
          </w:p>
        </w:tc>
        <w:tc>
          <w:tcPr>
            <w:tcW w:w="788" w:type="dxa"/>
            <w:tcBorders>
              <w:top w:val="single" w:sz="4" w:space="0" w:color="auto"/>
              <w:bottom w:val="single" w:sz="4" w:space="0" w:color="auto"/>
            </w:tcBorders>
            <w:shd w:val="clear" w:color="auto" w:fill="D9D9D9" w:themeFill="background1" w:themeFillShade="D9"/>
            <w:vAlign w:val="center"/>
          </w:tcPr>
          <w:p w:rsidR="00046739" w:rsidRPr="00046739" w:rsidRDefault="00046739" w:rsidP="00C6372D">
            <w:pPr>
              <w:spacing w:line="276" w:lineRule="auto"/>
              <w:jc w:val="center"/>
              <w:rPr>
                <w:sz w:val="18"/>
                <w:szCs w:val="22"/>
              </w:rPr>
            </w:pPr>
            <w:r w:rsidRPr="00046739">
              <w:rPr>
                <w:sz w:val="18"/>
                <w:szCs w:val="22"/>
              </w:rPr>
              <w:t>202</w:t>
            </w:r>
            <w:r w:rsidR="002018C7">
              <w:rPr>
                <w:sz w:val="18"/>
                <w:szCs w:val="22"/>
              </w:rPr>
              <w:t>3</w:t>
            </w:r>
          </w:p>
        </w:tc>
      </w:tr>
      <w:tr w:rsidR="00046739" w:rsidRPr="00046739" w:rsidTr="00046739">
        <w:trPr>
          <w:trHeight w:val="377"/>
        </w:trPr>
        <w:tc>
          <w:tcPr>
            <w:tcW w:w="5495" w:type="dxa"/>
            <w:tcBorders>
              <w:top w:val="single" w:sz="4" w:space="0" w:color="auto"/>
            </w:tcBorders>
            <w:vAlign w:val="bottom"/>
          </w:tcPr>
          <w:p w:rsidR="00046739" w:rsidRPr="00046739" w:rsidRDefault="00046739" w:rsidP="00657E8B">
            <w:pPr>
              <w:spacing w:line="276" w:lineRule="auto"/>
              <w:jc w:val="left"/>
              <w:rPr>
                <w:sz w:val="18"/>
                <w:szCs w:val="22"/>
              </w:rPr>
            </w:pPr>
            <w:r>
              <w:rPr>
                <w:sz w:val="18"/>
                <w:szCs w:val="22"/>
              </w:rPr>
              <w:t>Tipo de interés a corto plazo (</w:t>
            </w:r>
            <w:r w:rsidR="00657E8B">
              <w:rPr>
                <w:sz w:val="18"/>
                <w:szCs w:val="22"/>
              </w:rPr>
              <w:t>Euribor</w:t>
            </w:r>
            <w:r>
              <w:rPr>
                <w:sz w:val="18"/>
                <w:szCs w:val="22"/>
              </w:rPr>
              <w:t xml:space="preserve"> a tres meses)</w:t>
            </w:r>
          </w:p>
        </w:tc>
        <w:tc>
          <w:tcPr>
            <w:tcW w:w="787" w:type="dxa"/>
            <w:tcBorders>
              <w:top w:val="single" w:sz="4" w:space="0" w:color="auto"/>
            </w:tcBorders>
            <w:vAlign w:val="bottom"/>
          </w:tcPr>
          <w:p w:rsidR="00046739" w:rsidRPr="00046739" w:rsidRDefault="00C6372D" w:rsidP="00046739">
            <w:pPr>
              <w:spacing w:line="276" w:lineRule="auto"/>
              <w:jc w:val="center"/>
              <w:rPr>
                <w:sz w:val="18"/>
                <w:szCs w:val="22"/>
              </w:rPr>
            </w:pPr>
            <w:r>
              <w:rPr>
                <w:sz w:val="18"/>
                <w:szCs w:val="22"/>
              </w:rPr>
              <w:t>-0,</w:t>
            </w:r>
            <w:r w:rsidR="002018C7">
              <w:rPr>
                <w:sz w:val="18"/>
                <w:szCs w:val="22"/>
              </w:rPr>
              <w:t>4</w:t>
            </w:r>
          </w:p>
        </w:tc>
        <w:tc>
          <w:tcPr>
            <w:tcW w:w="787" w:type="dxa"/>
            <w:tcBorders>
              <w:top w:val="single" w:sz="4" w:space="0" w:color="auto"/>
            </w:tcBorders>
            <w:shd w:val="clear" w:color="auto" w:fill="D9D9D9" w:themeFill="background1" w:themeFillShade="D9"/>
            <w:vAlign w:val="bottom"/>
          </w:tcPr>
          <w:p w:rsidR="00046739" w:rsidRPr="00046739" w:rsidRDefault="00C6372D" w:rsidP="00046739">
            <w:pPr>
              <w:spacing w:line="276" w:lineRule="auto"/>
              <w:jc w:val="center"/>
              <w:rPr>
                <w:sz w:val="18"/>
                <w:szCs w:val="22"/>
              </w:rPr>
            </w:pPr>
            <w:r>
              <w:rPr>
                <w:sz w:val="18"/>
                <w:szCs w:val="22"/>
              </w:rPr>
              <w:t>-0,</w:t>
            </w:r>
            <w:r w:rsidR="002018C7">
              <w:rPr>
                <w:sz w:val="18"/>
                <w:szCs w:val="22"/>
              </w:rPr>
              <w:t>5</w:t>
            </w:r>
          </w:p>
        </w:tc>
        <w:tc>
          <w:tcPr>
            <w:tcW w:w="787" w:type="dxa"/>
            <w:tcBorders>
              <w:top w:val="single" w:sz="4" w:space="0" w:color="auto"/>
            </w:tcBorders>
            <w:shd w:val="clear" w:color="auto" w:fill="D9D9D9" w:themeFill="background1" w:themeFillShade="D9"/>
            <w:vAlign w:val="bottom"/>
          </w:tcPr>
          <w:p w:rsidR="00046739" w:rsidRPr="00046739" w:rsidRDefault="002018C7" w:rsidP="00C6372D">
            <w:pPr>
              <w:spacing w:line="276" w:lineRule="auto"/>
              <w:jc w:val="center"/>
              <w:rPr>
                <w:sz w:val="18"/>
                <w:szCs w:val="22"/>
              </w:rPr>
            </w:pPr>
            <w:r>
              <w:rPr>
                <w:sz w:val="18"/>
                <w:szCs w:val="22"/>
              </w:rPr>
              <w:t>-</w:t>
            </w:r>
            <w:r w:rsidR="00C6372D">
              <w:rPr>
                <w:sz w:val="18"/>
                <w:szCs w:val="22"/>
              </w:rPr>
              <w:t>0,</w:t>
            </w:r>
            <w:r>
              <w:rPr>
                <w:sz w:val="18"/>
                <w:szCs w:val="22"/>
              </w:rPr>
              <w:t>5</w:t>
            </w:r>
          </w:p>
        </w:tc>
        <w:tc>
          <w:tcPr>
            <w:tcW w:w="788" w:type="dxa"/>
            <w:tcBorders>
              <w:top w:val="single" w:sz="4" w:space="0" w:color="auto"/>
            </w:tcBorders>
            <w:shd w:val="clear" w:color="auto" w:fill="D9D9D9" w:themeFill="background1" w:themeFillShade="D9"/>
            <w:vAlign w:val="bottom"/>
          </w:tcPr>
          <w:p w:rsidR="00046739" w:rsidRPr="00046739" w:rsidRDefault="002018C7" w:rsidP="00046739">
            <w:pPr>
              <w:spacing w:line="276" w:lineRule="auto"/>
              <w:jc w:val="center"/>
              <w:rPr>
                <w:sz w:val="18"/>
                <w:szCs w:val="22"/>
              </w:rPr>
            </w:pPr>
            <w:r>
              <w:rPr>
                <w:sz w:val="18"/>
                <w:szCs w:val="22"/>
              </w:rPr>
              <w:t>-0,5</w:t>
            </w:r>
          </w:p>
        </w:tc>
      </w:tr>
      <w:tr w:rsidR="00046739" w:rsidRPr="00046739" w:rsidTr="00046739">
        <w:trPr>
          <w:trHeight w:val="421"/>
        </w:trPr>
        <w:tc>
          <w:tcPr>
            <w:tcW w:w="5495" w:type="dxa"/>
            <w:tcBorders>
              <w:bottom w:val="single" w:sz="4" w:space="0" w:color="auto"/>
            </w:tcBorders>
            <w:vAlign w:val="center"/>
          </w:tcPr>
          <w:p w:rsidR="00046739" w:rsidRDefault="00046739" w:rsidP="00046739">
            <w:pPr>
              <w:spacing w:line="276" w:lineRule="auto"/>
              <w:jc w:val="left"/>
              <w:rPr>
                <w:sz w:val="18"/>
                <w:szCs w:val="22"/>
              </w:rPr>
            </w:pPr>
            <w:r>
              <w:rPr>
                <w:sz w:val="18"/>
                <w:szCs w:val="22"/>
              </w:rPr>
              <w:t>Tipo de interés a largo plazo (rendimiento del bono a diez años)</w:t>
            </w:r>
          </w:p>
        </w:tc>
        <w:tc>
          <w:tcPr>
            <w:tcW w:w="787" w:type="dxa"/>
            <w:tcBorders>
              <w:bottom w:val="single" w:sz="4" w:space="0" w:color="auto"/>
            </w:tcBorders>
            <w:vAlign w:val="center"/>
          </w:tcPr>
          <w:p w:rsidR="00046739" w:rsidRDefault="002018C7" w:rsidP="00046739">
            <w:pPr>
              <w:spacing w:line="276" w:lineRule="auto"/>
              <w:jc w:val="center"/>
              <w:rPr>
                <w:sz w:val="18"/>
                <w:szCs w:val="22"/>
              </w:rPr>
            </w:pPr>
            <w:r>
              <w:rPr>
                <w:sz w:val="18"/>
                <w:szCs w:val="22"/>
              </w:rPr>
              <w:t>0</w:t>
            </w:r>
            <w:r w:rsidR="00C6372D">
              <w:rPr>
                <w:sz w:val="18"/>
                <w:szCs w:val="22"/>
              </w:rPr>
              <w:t>,4</w:t>
            </w:r>
          </w:p>
        </w:tc>
        <w:tc>
          <w:tcPr>
            <w:tcW w:w="787" w:type="dxa"/>
            <w:tcBorders>
              <w:bottom w:val="single" w:sz="4" w:space="0" w:color="auto"/>
            </w:tcBorders>
            <w:shd w:val="clear" w:color="auto" w:fill="D9D9D9" w:themeFill="background1" w:themeFillShade="D9"/>
            <w:vAlign w:val="center"/>
          </w:tcPr>
          <w:p w:rsidR="00046739" w:rsidRDefault="002018C7" w:rsidP="00046739">
            <w:pPr>
              <w:spacing w:line="276" w:lineRule="auto"/>
              <w:jc w:val="center"/>
              <w:rPr>
                <w:sz w:val="18"/>
                <w:szCs w:val="22"/>
              </w:rPr>
            </w:pPr>
            <w:r>
              <w:rPr>
                <w:sz w:val="18"/>
                <w:szCs w:val="22"/>
              </w:rPr>
              <w:t>0,3</w:t>
            </w:r>
          </w:p>
        </w:tc>
        <w:tc>
          <w:tcPr>
            <w:tcW w:w="787" w:type="dxa"/>
            <w:tcBorders>
              <w:bottom w:val="single" w:sz="4" w:space="0" w:color="auto"/>
            </w:tcBorders>
            <w:shd w:val="clear" w:color="auto" w:fill="D9D9D9" w:themeFill="background1" w:themeFillShade="D9"/>
            <w:vAlign w:val="center"/>
          </w:tcPr>
          <w:p w:rsidR="00046739" w:rsidRDefault="002018C7" w:rsidP="00046739">
            <w:pPr>
              <w:spacing w:line="276" w:lineRule="auto"/>
              <w:jc w:val="center"/>
              <w:rPr>
                <w:sz w:val="18"/>
                <w:szCs w:val="22"/>
              </w:rPr>
            </w:pPr>
            <w:r>
              <w:rPr>
                <w:sz w:val="18"/>
                <w:szCs w:val="22"/>
              </w:rPr>
              <w:t>0,6</w:t>
            </w:r>
          </w:p>
        </w:tc>
        <w:tc>
          <w:tcPr>
            <w:tcW w:w="788" w:type="dxa"/>
            <w:tcBorders>
              <w:bottom w:val="single" w:sz="4" w:space="0" w:color="auto"/>
            </w:tcBorders>
            <w:shd w:val="clear" w:color="auto" w:fill="D9D9D9" w:themeFill="background1" w:themeFillShade="D9"/>
            <w:vAlign w:val="center"/>
          </w:tcPr>
          <w:p w:rsidR="00046739" w:rsidRDefault="002018C7" w:rsidP="00046739">
            <w:pPr>
              <w:spacing w:line="276" w:lineRule="auto"/>
              <w:jc w:val="center"/>
              <w:rPr>
                <w:sz w:val="18"/>
                <w:szCs w:val="22"/>
              </w:rPr>
            </w:pPr>
            <w:r>
              <w:rPr>
                <w:sz w:val="18"/>
                <w:szCs w:val="22"/>
              </w:rPr>
              <w:t>0,8</w:t>
            </w:r>
          </w:p>
        </w:tc>
      </w:tr>
    </w:tbl>
    <w:p w:rsidR="00046739" w:rsidRPr="00C32124" w:rsidRDefault="00C32124" w:rsidP="00150C96">
      <w:pPr>
        <w:spacing w:after="240"/>
        <w:rPr>
          <w:i/>
          <w:sz w:val="18"/>
          <w:szCs w:val="22"/>
        </w:rPr>
      </w:pPr>
      <w:r>
        <w:rPr>
          <w:i/>
          <w:sz w:val="18"/>
          <w:szCs w:val="22"/>
        </w:rPr>
        <w:t>Fuentes: Informe citado del Banco de España.</w:t>
      </w:r>
    </w:p>
    <w:p w:rsidR="00E933CD" w:rsidRPr="0094499A" w:rsidRDefault="00E933CD" w:rsidP="00ED7492">
      <w:pPr>
        <w:spacing w:after="240"/>
        <w:rPr>
          <w:szCs w:val="22"/>
        </w:rPr>
      </w:pPr>
      <w:r w:rsidRPr="0094499A">
        <w:rPr>
          <w:b/>
          <w:szCs w:val="22"/>
        </w:rPr>
        <w:t>4. Plan presupuestario a medio plazo</w:t>
      </w:r>
    </w:p>
    <w:p w:rsidR="00E933CD" w:rsidRPr="0094499A" w:rsidRDefault="00E933CD" w:rsidP="00F90887">
      <w:pPr>
        <w:spacing w:after="240" w:line="276" w:lineRule="auto"/>
        <w:rPr>
          <w:szCs w:val="22"/>
        </w:rPr>
      </w:pPr>
      <w:r w:rsidRPr="0094499A">
        <w:rPr>
          <w:szCs w:val="22"/>
        </w:rPr>
        <w:t xml:space="preserve">Como hemos señalado anteriormente, </w:t>
      </w:r>
      <w:r w:rsidR="002018C7" w:rsidRPr="0094499A">
        <w:rPr>
          <w:szCs w:val="22"/>
        </w:rPr>
        <w:t>las reglas fiscales</w:t>
      </w:r>
      <w:r w:rsidR="00313ACE" w:rsidRPr="0094499A">
        <w:rPr>
          <w:szCs w:val="22"/>
        </w:rPr>
        <w:t xml:space="preserve"> para el conjunto de las </w:t>
      </w:r>
      <w:r w:rsidR="002018C7" w:rsidRPr="0094499A">
        <w:rPr>
          <w:szCs w:val="22"/>
        </w:rPr>
        <w:t>Administraciones Públicas</w:t>
      </w:r>
      <w:r w:rsidR="00CF226F" w:rsidRPr="0094499A">
        <w:rPr>
          <w:szCs w:val="22"/>
        </w:rPr>
        <w:t xml:space="preserve"> para el periodo 2020</w:t>
      </w:r>
      <w:r w:rsidRPr="0094499A">
        <w:rPr>
          <w:szCs w:val="22"/>
        </w:rPr>
        <w:t>-20</w:t>
      </w:r>
      <w:r w:rsidR="00657E8B" w:rsidRPr="0094499A">
        <w:rPr>
          <w:szCs w:val="22"/>
        </w:rPr>
        <w:t>2</w:t>
      </w:r>
      <w:r w:rsidR="002018C7" w:rsidRPr="0094499A">
        <w:rPr>
          <w:szCs w:val="22"/>
        </w:rPr>
        <w:t>1</w:t>
      </w:r>
      <w:r w:rsidRPr="0094499A">
        <w:rPr>
          <w:szCs w:val="22"/>
        </w:rPr>
        <w:t xml:space="preserve"> </w:t>
      </w:r>
      <w:r w:rsidR="002018C7" w:rsidRPr="0094499A">
        <w:rPr>
          <w:szCs w:val="22"/>
        </w:rPr>
        <w:t>han quedado en suspenso. No obstante, el PPMP elaborado, en términos del</w:t>
      </w:r>
      <w:r w:rsidR="006078AD" w:rsidRPr="0094499A">
        <w:rPr>
          <w:szCs w:val="22"/>
        </w:rPr>
        <w:t xml:space="preserve"> </w:t>
      </w:r>
      <w:r w:rsidRPr="0094499A">
        <w:rPr>
          <w:szCs w:val="22"/>
        </w:rPr>
        <w:t xml:space="preserve">SEC </w:t>
      </w:r>
      <w:r w:rsidR="002018C7" w:rsidRPr="0094499A">
        <w:rPr>
          <w:szCs w:val="22"/>
        </w:rPr>
        <w:t xml:space="preserve">presenta una situación anual de estabilidad presupuestaria y en consecuencia de reducción continúa de la variación neta de pasivos financieros </w:t>
      </w:r>
      <w:r w:rsidRPr="0094499A">
        <w:rPr>
          <w:szCs w:val="22"/>
        </w:rPr>
        <w:t>(</w:t>
      </w:r>
      <w:r w:rsidR="002018C7" w:rsidRPr="0094499A">
        <w:rPr>
          <w:szCs w:val="22"/>
        </w:rPr>
        <w:t>diferencia entre los capítulos 9 de ingresos y gastos), en la que se continúa con la amortización de la deuda financiera sin que esté previsto recurrir a nuevo endeudamiento.</w:t>
      </w:r>
    </w:p>
    <w:p w:rsidR="00E933CD" w:rsidRPr="0094499A" w:rsidRDefault="00E933CD" w:rsidP="00F90887">
      <w:pPr>
        <w:spacing w:after="240"/>
        <w:rPr>
          <w:szCs w:val="22"/>
        </w:rPr>
      </w:pPr>
      <w:r w:rsidRPr="0094499A">
        <w:rPr>
          <w:b/>
          <w:szCs w:val="22"/>
        </w:rPr>
        <w:t>5. Supuestos fiscales y presupuestarios</w:t>
      </w:r>
    </w:p>
    <w:p w:rsidR="005867E6" w:rsidRPr="0094499A" w:rsidRDefault="00CF226F" w:rsidP="00F90887">
      <w:pPr>
        <w:spacing w:after="240" w:line="276" w:lineRule="auto"/>
        <w:rPr>
          <w:rFonts w:cs="Arial"/>
          <w:szCs w:val="22"/>
        </w:rPr>
      </w:pPr>
      <w:r w:rsidRPr="0094499A">
        <w:rPr>
          <w:rFonts w:cs="Arial"/>
          <w:szCs w:val="22"/>
        </w:rPr>
        <w:t>Las proyecciones de ingresos y gastos de</w:t>
      </w:r>
      <w:r w:rsidR="00E933CD" w:rsidRPr="0094499A">
        <w:rPr>
          <w:rFonts w:cs="Arial"/>
          <w:szCs w:val="22"/>
        </w:rPr>
        <w:t>l Plan P</w:t>
      </w:r>
      <w:r w:rsidRPr="0094499A">
        <w:rPr>
          <w:rFonts w:cs="Arial"/>
          <w:szCs w:val="22"/>
        </w:rPr>
        <w:t>resupuestario a Medio Plazo 202</w:t>
      </w:r>
      <w:r w:rsidR="002018C7" w:rsidRPr="0094499A">
        <w:rPr>
          <w:rFonts w:cs="Arial"/>
          <w:szCs w:val="22"/>
        </w:rPr>
        <w:t>2</w:t>
      </w:r>
      <w:r w:rsidR="00BB7CE2" w:rsidRPr="0094499A">
        <w:rPr>
          <w:rFonts w:cs="Arial"/>
          <w:szCs w:val="22"/>
        </w:rPr>
        <w:t>-20</w:t>
      </w:r>
      <w:r w:rsidR="00F90887" w:rsidRPr="0094499A">
        <w:rPr>
          <w:rFonts w:cs="Arial"/>
          <w:szCs w:val="22"/>
        </w:rPr>
        <w:t>2</w:t>
      </w:r>
      <w:r w:rsidR="002018C7" w:rsidRPr="0094499A">
        <w:rPr>
          <w:rFonts w:cs="Arial"/>
          <w:szCs w:val="22"/>
        </w:rPr>
        <w:t>4</w:t>
      </w:r>
      <w:r w:rsidRPr="0094499A">
        <w:rPr>
          <w:rFonts w:cs="Arial"/>
          <w:szCs w:val="22"/>
        </w:rPr>
        <w:t>,</w:t>
      </w:r>
      <w:r w:rsidR="00E933CD" w:rsidRPr="0094499A">
        <w:rPr>
          <w:rFonts w:cs="Arial"/>
          <w:szCs w:val="22"/>
        </w:rPr>
        <w:t xml:space="preserve"> parte</w:t>
      </w:r>
      <w:r w:rsidRPr="0094499A">
        <w:rPr>
          <w:rFonts w:cs="Arial"/>
          <w:szCs w:val="22"/>
        </w:rPr>
        <w:t>n</w:t>
      </w:r>
      <w:r w:rsidR="00E933CD" w:rsidRPr="0094499A">
        <w:rPr>
          <w:rFonts w:cs="Arial"/>
          <w:szCs w:val="22"/>
        </w:rPr>
        <w:t xml:space="preserve"> de las previsiones iniciales del presup</w:t>
      </w:r>
      <w:r w:rsidR="00BB7CE2" w:rsidRPr="0094499A">
        <w:rPr>
          <w:rFonts w:cs="Arial"/>
          <w:szCs w:val="22"/>
        </w:rPr>
        <w:t>uesto del ejercicio 20</w:t>
      </w:r>
      <w:r w:rsidR="002018C7" w:rsidRPr="0094499A">
        <w:rPr>
          <w:rFonts w:cs="Arial"/>
          <w:szCs w:val="22"/>
        </w:rPr>
        <w:t>21</w:t>
      </w:r>
      <w:r w:rsidR="002B77DE" w:rsidRPr="0094499A">
        <w:rPr>
          <w:rFonts w:cs="Arial"/>
          <w:szCs w:val="22"/>
        </w:rPr>
        <w:t>, y el escenario central del Banco de España</w:t>
      </w:r>
      <w:r w:rsidR="00E933CD" w:rsidRPr="0094499A">
        <w:rPr>
          <w:rFonts w:cs="Arial"/>
          <w:szCs w:val="22"/>
        </w:rPr>
        <w:t xml:space="preserve">. </w:t>
      </w:r>
    </w:p>
    <w:p w:rsidR="0023064C" w:rsidRPr="0094499A" w:rsidRDefault="005867E6" w:rsidP="00C642B1">
      <w:pPr>
        <w:spacing w:after="240" w:line="276" w:lineRule="auto"/>
        <w:rPr>
          <w:rFonts w:cs="Arial"/>
          <w:szCs w:val="22"/>
        </w:rPr>
      </w:pPr>
      <w:r w:rsidRPr="0094499A">
        <w:rPr>
          <w:rFonts w:cs="Arial"/>
          <w:szCs w:val="22"/>
        </w:rPr>
        <w:t>De acuerdo</w:t>
      </w:r>
      <w:r w:rsidR="00713A97" w:rsidRPr="0094499A">
        <w:rPr>
          <w:rFonts w:cs="Arial"/>
          <w:szCs w:val="22"/>
        </w:rPr>
        <w:t xml:space="preserve"> con las prioridades del equipo de gobierno municipal, y teniendo en cuenta </w:t>
      </w:r>
      <w:r w:rsidRPr="0094499A">
        <w:rPr>
          <w:rFonts w:cs="Arial"/>
          <w:szCs w:val="22"/>
        </w:rPr>
        <w:t>la</w:t>
      </w:r>
      <w:r w:rsidR="00713A97" w:rsidRPr="0094499A">
        <w:rPr>
          <w:rFonts w:cs="Arial"/>
          <w:szCs w:val="22"/>
        </w:rPr>
        <w:t xml:space="preserve">s anteriores </w:t>
      </w:r>
      <w:r w:rsidR="00CF226F" w:rsidRPr="0094499A">
        <w:rPr>
          <w:rFonts w:cs="Arial"/>
          <w:szCs w:val="22"/>
        </w:rPr>
        <w:t>previsi</w:t>
      </w:r>
      <w:r w:rsidR="00713A97" w:rsidRPr="0094499A">
        <w:rPr>
          <w:rFonts w:cs="Arial"/>
          <w:szCs w:val="22"/>
        </w:rPr>
        <w:t xml:space="preserve">ones sobre la </w:t>
      </w:r>
      <w:r w:rsidRPr="0094499A">
        <w:rPr>
          <w:rFonts w:cs="Arial"/>
          <w:szCs w:val="22"/>
        </w:rPr>
        <w:t>evolución de la econom</w:t>
      </w:r>
      <w:r w:rsidR="0023064C" w:rsidRPr="0094499A">
        <w:rPr>
          <w:rFonts w:cs="Arial"/>
          <w:szCs w:val="22"/>
        </w:rPr>
        <w:t>ía española</w:t>
      </w:r>
      <w:r w:rsidR="00713A97" w:rsidRPr="0094499A">
        <w:rPr>
          <w:rFonts w:cs="Arial"/>
          <w:szCs w:val="22"/>
        </w:rPr>
        <w:t xml:space="preserve">, el plan presupuestario se ha elaborado </w:t>
      </w:r>
      <w:r w:rsidR="00F90887" w:rsidRPr="0094499A">
        <w:rPr>
          <w:rFonts w:cs="Arial"/>
          <w:szCs w:val="22"/>
        </w:rPr>
        <w:t xml:space="preserve">a su vez </w:t>
      </w:r>
      <w:r w:rsidR="00CF226F" w:rsidRPr="0094499A">
        <w:rPr>
          <w:rFonts w:cs="Arial"/>
          <w:szCs w:val="22"/>
        </w:rPr>
        <w:t>con lo</w:t>
      </w:r>
      <w:r w:rsidR="00713A97" w:rsidRPr="0094499A">
        <w:rPr>
          <w:rFonts w:cs="Arial"/>
          <w:szCs w:val="22"/>
        </w:rPr>
        <w:t xml:space="preserve">s </w:t>
      </w:r>
      <w:r w:rsidR="00CF226F" w:rsidRPr="0094499A">
        <w:rPr>
          <w:rFonts w:cs="Arial"/>
          <w:szCs w:val="22"/>
        </w:rPr>
        <w:t xml:space="preserve">supuestos que seguidamente se indican sobre la evolución </w:t>
      </w:r>
      <w:r w:rsidR="00713A97" w:rsidRPr="0094499A">
        <w:rPr>
          <w:rFonts w:cs="Arial"/>
          <w:szCs w:val="22"/>
        </w:rPr>
        <w:t>de ingresos y gastos</w:t>
      </w:r>
      <w:r w:rsidR="00CF226F" w:rsidRPr="0094499A">
        <w:rPr>
          <w:rFonts w:cs="Arial"/>
          <w:szCs w:val="22"/>
        </w:rPr>
        <w:t>.</w:t>
      </w:r>
      <w:r w:rsidR="00713A97" w:rsidRPr="0094499A">
        <w:rPr>
          <w:rFonts w:cs="Arial"/>
          <w:szCs w:val="22"/>
        </w:rPr>
        <w:t xml:space="preserve"> </w:t>
      </w:r>
    </w:p>
    <w:p w:rsidR="00A6141D" w:rsidRPr="0094499A" w:rsidRDefault="00A6141D" w:rsidP="00C642B1">
      <w:pPr>
        <w:spacing w:after="240" w:line="276" w:lineRule="auto"/>
        <w:rPr>
          <w:rFonts w:cs="Arial"/>
          <w:szCs w:val="22"/>
        </w:rPr>
      </w:pPr>
      <w:r w:rsidRPr="0094499A">
        <w:rPr>
          <w:rFonts w:cs="Arial"/>
          <w:szCs w:val="22"/>
        </w:rPr>
        <w:t>1.</w:t>
      </w:r>
      <w:r w:rsidR="00713A97" w:rsidRPr="0094499A">
        <w:rPr>
          <w:rFonts w:cs="Arial"/>
          <w:szCs w:val="22"/>
        </w:rPr>
        <w:t xml:space="preserve"> </w:t>
      </w:r>
      <w:r w:rsidRPr="0094499A">
        <w:rPr>
          <w:rFonts w:cs="Arial"/>
          <w:szCs w:val="22"/>
        </w:rPr>
        <w:t>Proyecciones d</w:t>
      </w:r>
      <w:r w:rsidR="00713A97" w:rsidRPr="0094499A">
        <w:rPr>
          <w:rFonts w:cs="Arial"/>
          <w:szCs w:val="22"/>
        </w:rPr>
        <w:t xml:space="preserve">e ingresos </w:t>
      </w:r>
    </w:p>
    <w:p w:rsidR="00713A97" w:rsidRPr="0094499A" w:rsidRDefault="00BC597B" w:rsidP="00C642B1">
      <w:pPr>
        <w:spacing w:after="240" w:line="276" w:lineRule="auto"/>
        <w:rPr>
          <w:rFonts w:cs="Arial"/>
          <w:i/>
          <w:szCs w:val="22"/>
        </w:rPr>
      </w:pPr>
      <w:r w:rsidRPr="0094499A">
        <w:rPr>
          <w:rFonts w:cs="Arial"/>
          <w:i/>
          <w:szCs w:val="22"/>
        </w:rPr>
        <w:t>A)</w:t>
      </w:r>
      <w:r w:rsidR="00A6141D" w:rsidRPr="0094499A">
        <w:rPr>
          <w:rFonts w:cs="Arial"/>
          <w:i/>
          <w:szCs w:val="22"/>
        </w:rPr>
        <w:t xml:space="preserve">. </w:t>
      </w:r>
      <w:r w:rsidR="00F61C28" w:rsidRPr="0094499A">
        <w:rPr>
          <w:rFonts w:cs="Arial"/>
          <w:i/>
          <w:szCs w:val="22"/>
        </w:rPr>
        <w:t>I</w:t>
      </w:r>
      <w:r w:rsidR="00A6141D" w:rsidRPr="0094499A">
        <w:rPr>
          <w:rFonts w:cs="Arial"/>
          <w:i/>
          <w:szCs w:val="22"/>
        </w:rPr>
        <w:t>ngresos corrientes</w:t>
      </w:r>
    </w:p>
    <w:p w:rsidR="00241168" w:rsidRPr="0094499A" w:rsidRDefault="0023064C" w:rsidP="00C642B1">
      <w:pPr>
        <w:spacing w:after="240" w:line="276" w:lineRule="auto"/>
        <w:rPr>
          <w:rFonts w:cs="Arial"/>
          <w:szCs w:val="22"/>
        </w:rPr>
      </w:pPr>
      <w:r w:rsidRPr="0094499A">
        <w:rPr>
          <w:rFonts w:cs="Arial"/>
          <w:szCs w:val="22"/>
        </w:rPr>
        <w:t xml:space="preserve">— </w:t>
      </w:r>
      <w:r w:rsidR="00A6141D" w:rsidRPr="0094499A">
        <w:rPr>
          <w:rFonts w:cs="Arial"/>
          <w:szCs w:val="22"/>
        </w:rPr>
        <w:t>Cap</w:t>
      </w:r>
      <w:r w:rsidR="00B80034" w:rsidRPr="0094499A">
        <w:rPr>
          <w:rFonts w:cs="Arial"/>
          <w:szCs w:val="22"/>
        </w:rPr>
        <w:t>ítulos 1 y 2. I</w:t>
      </w:r>
      <w:r w:rsidR="00A6141D" w:rsidRPr="0094499A">
        <w:rPr>
          <w:rFonts w:cs="Arial"/>
          <w:szCs w:val="22"/>
        </w:rPr>
        <w:t>mpuestos directos e indirectos. El IBI</w:t>
      </w:r>
      <w:r w:rsidR="00F90887" w:rsidRPr="0094499A">
        <w:rPr>
          <w:rFonts w:cs="Arial"/>
          <w:szCs w:val="22"/>
        </w:rPr>
        <w:t xml:space="preserve"> permanece sin cambios a lo largo de todo el periodo considerado</w:t>
      </w:r>
      <w:r w:rsidR="00C32124" w:rsidRPr="0094499A">
        <w:rPr>
          <w:rFonts w:cs="Arial"/>
          <w:szCs w:val="22"/>
        </w:rPr>
        <w:t>, excepto en el ejercicio 202</w:t>
      </w:r>
      <w:r w:rsidR="002B77DE" w:rsidRPr="0094499A">
        <w:rPr>
          <w:rFonts w:cs="Arial"/>
          <w:szCs w:val="22"/>
        </w:rPr>
        <w:t>4</w:t>
      </w:r>
      <w:r w:rsidR="00C32124" w:rsidRPr="0094499A">
        <w:rPr>
          <w:rFonts w:cs="Arial"/>
          <w:szCs w:val="22"/>
        </w:rPr>
        <w:t>, con un aumento de punto</w:t>
      </w:r>
      <w:r w:rsidR="002B77DE" w:rsidRPr="0094499A">
        <w:rPr>
          <w:rFonts w:cs="Arial"/>
          <w:szCs w:val="22"/>
        </w:rPr>
        <w:t xml:space="preserve"> y medio porcentuales (pp)</w:t>
      </w:r>
      <w:r w:rsidR="00C32124" w:rsidRPr="0094499A">
        <w:rPr>
          <w:rFonts w:cs="Arial"/>
          <w:szCs w:val="22"/>
        </w:rPr>
        <w:t>.</w:t>
      </w:r>
      <w:r w:rsidR="00C642B1" w:rsidRPr="0094499A">
        <w:rPr>
          <w:rFonts w:cs="Arial"/>
          <w:szCs w:val="22"/>
        </w:rPr>
        <w:t xml:space="preserve"> E</w:t>
      </w:r>
      <w:r w:rsidR="00F90887" w:rsidRPr="0094499A">
        <w:rPr>
          <w:rFonts w:cs="Arial"/>
          <w:szCs w:val="22"/>
        </w:rPr>
        <w:t xml:space="preserve">n </w:t>
      </w:r>
      <w:r w:rsidR="00C642B1" w:rsidRPr="0094499A">
        <w:rPr>
          <w:rFonts w:cs="Arial"/>
          <w:szCs w:val="22"/>
        </w:rPr>
        <w:t>cuanto a</w:t>
      </w:r>
      <w:r w:rsidR="00A6141D" w:rsidRPr="0094499A">
        <w:rPr>
          <w:rFonts w:cs="Arial"/>
          <w:szCs w:val="22"/>
        </w:rPr>
        <w:t>l IAE</w:t>
      </w:r>
      <w:r w:rsidR="00C642B1" w:rsidRPr="0094499A">
        <w:rPr>
          <w:rFonts w:cs="Arial"/>
          <w:szCs w:val="22"/>
        </w:rPr>
        <w:t xml:space="preserve">, </w:t>
      </w:r>
      <w:r w:rsidR="002B77DE" w:rsidRPr="0094499A">
        <w:rPr>
          <w:rFonts w:cs="Arial"/>
          <w:szCs w:val="22"/>
        </w:rPr>
        <w:t xml:space="preserve">experimenta una leve disminución por </w:t>
      </w:r>
      <w:r w:rsidR="00C642B1" w:rsidRPr="0094499A">
        <w:rPr>
          <w:rFonts w:cs="Arial"/>
          <w:szCs w:val="22"/>
        </w:rPr>
        <w:t>el</w:t>
      </w:r>
      <w:r w:rsidR="002B77DE" w:rsidRPr="0094499A">
        <w:rPr>
          <w:rFonts w:cs="Arial"/>
          <w:szCs w:val="22"/>
        </w:rPr>
        <w:t xml:space="preserve"> posible aumento de bonificaciones y la desaparición de sucursales bancarias, sin recuperación hasta el 2024.</w:t>
      </w:r>
      <w:r w:rsidR="00C642B1" w:rsidRPr="0094499A">
        <w:rPr>
          <w:rFonts w:cs="Arial"/>
          <w:szCs w:val="22"/>
        </w:rPr>
        <w:t xml:space="preserve"> </w:t>
      </w:r>
      <w:r w:rsidR="002B77DE" w:rsidRPr="0094499A">
        <w:rPr>
          <w:rFonts w:cs="Arial"/>
          <w:szCs w:val="22"/>
        </w:rPr>
        <w:t xml:space="preserve">Las previsiones en el </w:t>
      </w:r>
      <w:r w:rsidR="00C642B1" w:rsidRPr="0094499A">
        <w:rPr>
          <w:rFonts w:cs="Arial"/>
          <w:szCs w:val="22"/>
        </w:rPr>
        <w:t>IVTM</w:t>
      </w:r>
      <w:r w:rsidR="002B77DE" w:rsidRPr="0094499A">
        <w:rPr>
          <w:rFonts w:cs="Arial"/>
          <w:szCs w:val="22"/>
        </w:rPr>
        <w:t xml:space="preserve"> se mueven en la misma línea que los anteriores tributos</w:t>
      </w:r>
      <w:r w:rsidR="00C642B1" w:rsidRPr="0094499A">
        <w:rPr>
          <w:rFonts w:cs="Arial"/>
          <w:szCs w:val="22"/>
        </w:rPr>
        <w:t xml:space="preserve">, </w:t>
      </w:r>
      <w:r w:rsidR="002B77DE" w:rsidRPr="0094499A">
        <w:rPr>
          <w:rFonts w:cs="Arial"/>
          <w:szCs w:val="22"/>
        </w:rPr>
        <w:t>mientras que para e</w:t>
      </w:r>
      <w:r w:rsidR="00C642B1" w:rsidRPr="0094499A">
        <w:rPr>
          <w:rFonts w:cs="Arial"/>
          <w:szCs w:val="22"/>
        </w:rPr>
        <w:t xml:space="preserve">l ICIO se estiman </w:t>
      </w:r>
      <w:r w:rsidR="002B77DE" w:rsidRPr="0094499A">
        <w:rPr>
          <w:rFonts w:cs="Arial"/>
          <w:szCs w:val="22"/>
        </w:rPr>
        <w:t xml:space="preserve">variaciones positivas impulsadas por </w:t>
      </w:r>
      <w:r w:rsidR="00C642B1" w:rsidRPr="0094499A">
        <w:rPr>
          <w:rFonts w:cs="Arial"/>
          <w:szCs w:val="22"/>
        </w:rPr>
        <w:t>e</w:t>
      </w:r>
      <w:r w:rsidR="00C32124" w:rsidRPr="0094499A">
        <w:rPr>
          <w:rFonts w:cs="Arial"/>
          <w:szCs w:val="22"/>
        </w:rPr>
        <w:t xml:space="preserve">l PIB, de </w:t>
      </w:r>
      <w:r w:rsidR="002B77DE" w:rsidRPr="0094499A">
        <w:rPr>
          <w:rFonts w:cs="Arial"/>
          <w:szCs w:val="22"/>
        </w:rPr>
        <w:t>3</w:t>
      </w:r>
      <w:r w:rsidR="00C32124" w:rsidRPr="0094499A">
        <w:rPr>
          <w:rFonts w:cs="Arial"/>
          <w:szCs w:val="22"/>
        </w:rPr>
        <w:t xml:space="preserve"> </w:t>
      </w:r>
      <w:r w:rsidR="002B77DE" w:rsidRPr="0094499A">
        <w:rPr>
          <w:rFonts w:cs="Arial"/>
          <w:szCs w:val="22"/>
        </w:rPr>
        <w:t>pp</w:t>
      </w:r>
      <w:r w:rsidR="00C642B1" w:rsidRPr="0094499A">
        <w:rPr>
          <w:rFonts w:cs="Arial"/>
          <w:szCs w:val="22"/>
        </w:rPr>
        <w:t>.</w:t>
      </w:r>
      <w:r w:rsidR="00A6141D" w:rsidRPr="0094499A">
        <w:rPr>
          <w:rFonts w:cs="Arial"/>
          <w:szCs w:val="22"/>
        </w:rPr>
        <w:t xml:space="preserve"> </w:t>
      </w:r>
      <w:r w:rsidR="00C642B1" w:rsidRPr="0094499A">
        <w:rPr>
          <w:rFonts w:cs="Arial"/>
          <w:szCs w:val="22"/>
        </w:rPr>
        <w:t xml:space="preserve">Sin embargo, </w:t>
      </w:r>
      <w:r w:rsidR="002B77DE" w:rsidRPr="0094499A">
        <w:rPr>
          <w:rFonts w:cs="Arial"/>
          <w:szCs w:val="22"/>
        </w:rPr>
        <w:t>disminuyen las previsiones d</w:t>
      </w:r>
      <w:r w:rsidR="00C642B1" w:rsidRPr="0094499A">
        <w:rPr>
          <w:rFonts w:cs="Arial"/>
          <w:szCs w:val="22"/>
        </w:rPr>
        <w:t>el</w:t>
      </w:r>
      <w:r w:rsidR="00241168" w:rsidRPr="0094499A">
        <w:rPr>
          <w:rFonts w:cs="Arial"/>
          <w:szCs w:val="22"/>
        </w:rPr>
        <w:t xml:space="preserve"> IIVTNU</w:t>
      </w:r>
      <w:r w:rsidR="00C642B1" w:rsidRPr="0094499A">
        <w:rPr>
          <w:rFonts w:cs="Arial"/>
          <w:szCs w:val="22"/>
        </w:rPr>
        <w:t xml:space="preserve"> en </w:t>
      </w:r>
      <w:r w:rsidR="00D86B4B" w:rsidRPr="0094499A">
        <w:rPr>
          <w:rFonts w:cs="Arial"/>
          <w:szCs w:val="22"/>
        </w:rPr>
        <w:t>150</w:t>
      </w:r>
      <w:r w:rsidR="00C642B1" w:rsidRPr="0094499A">
        <w:rPr>
          <w:rFonts w:cs="Arial"/>
          <w:szCs w:val="22"/>
        </w:rPr>
        <w:t xml:space="preserve">0.000,00 euros anuales, pendientes del </w:t>
      </w:r>
      <w:r w:rsidR="00241168" w:rsidRPr="0094499A">
        <w:rPr>
          <w:rFonts w:cs="Arial"/>
          <w:szCs w:val="22"/>
        </w:rPr>
        <w:t xml:space="preserve">impacto que sobre el mismo </w:t>
      </w:r>
      <w:r w:rsidR="00241168" w:rsidRPr="0094499A">
        <w:rPr>
          <w:rFonts w:cs="Arial"/>
          <w:szCs w:val="22"/>
        </w:rPr>
        <w:lastRenderedPageBreak/>
        <w:t xml:space="preserve">pueda tener la </w:t>
      </w:r>
      <w:r w:rsidR="00C642B1" w:rsidRPr="0094499A">
        <w:rPr>
          <w:rFonts w:cs="Arial"/>
          <w:szCs w:val="22"/>
        </w:rPr>
        <w:t xml:space="preserve">reforma </w:t>
      </w:r>
      <w:r w:rsidR="00C32124" w:rsidRPr="0094499A">
        <w:rPr>
          <w:rFonts w:cs="Arial"/>
          <w:szCs w:val="22"/>
        </w:rPr>
        <w:t xml:space="preserve">pendiente del marco </w:t>
      </w:r>
      <w:r w:rsidR="00C642B1" w:rsidRPr="0094499A">
        <w:rPr>
          <w:rFonts w:cs="Arial"/>
          <w:szCs w:val="22"/>
        </w:rPr>
        <w:t>legal del impuesto</w:t>
      </w:r>
      <w:r w:rsidR="00D86B4B" w:rsidRPr="0094499A">
        <w:rPr>
          <w:rFonts w:cs="Arial"/>
          <w:szCs w:val="22"/>
        </w:rPr>
        <w:t xml:space="preserve"> y la atonía del mercado inmobiliario</w:t>
      </w:r>
      <w:r w:rsidR="00241168" w:rsidRPr="0094499A">
        <w:rPr>
          <w:rFonts w:cs="Arial"/>
          <w:szCs w:val="22"/>
        </w:rPr>
        <w:t>.</w:t>
      </w:r>
    </w:p>
    <w:p w:rsidR="00A6141D" w:rsidRPr="0094499A" w:rsidRDefault="00241168" w:rsidP="00C642B1">
      <w:pPr>
        <w:spacing w:after="240" w:line="276" w:lineRule="auto"/>
        <w:rPr>
          <w:rFonts w:cs="Arial"/>
          <w:szCs w:val="22"/>
        </w:rPr>
      </w:pPr>
      <w:r w:rsidRPr="0094499A">
        <w:rPr>
          <w:rFonts w:cs="Arial"/>
          <w:szCs w:val="22"/>
        </w:rPr>
        <w:t>— Capítulo 3</w:t>
      </w:r>
      <w:r w:rsidR="00B80034" w:rsidRPr="0094499A">
        <w:rPr>
          <w:rFonts w:cs="Arial"/>
          <w:szCs w:val="22"/>
        </w:rPr>
        <w:t>. T</w:t>
      </w:r>
      <w:r w:rsidRPr="0094499A">
        <w:rPr>
          <w:rFonts w:cs="Arial"/>
          <w:szCs w:val="22"/>
        </w:rPr>
        <w:t xml:space="preserve">asas, precios públicos y otros ingresos. Se </w:t>
      </w:r>
      <w:r w:rsidR="00BA27DD" w:rsidRPr="0094499A">
        <w:rPr>
          <w:rFonts w:cs="Arial"/>
          <w:szCs w:val="22"/>
        </w:rPr>
        <w:t>aplica</w:t>
      </w:r>
      <w:r w:rsidR="00C32124" w:rsidRPr="0094499A">
        <w:rPr>
          <w:rFonts w:cs="Arial"/>
          <w:szCs w:val="22"/>
        </w:rPr>
        <w:t xml:space="preserve"> también un crecimiento continuado de 2 pp.</w:t>
      </w:r>
    </w:p>
    <w:p w:rsidR="00150C96" w:rsidRPr="0094499A" w:rsidRDefault="00B80034" w:rsidP="00150C96">
      <w:pPr>
        <w:spacing w:after="240" w:line="276" w:lineRule="auto"/>
        <w:rPr>
          <w:rFonts w:cs="Arial"/>
          <w:szCs w:val="22"/>
        </w:rPr>
      </w:pPr>
      <w:r w:rsidRPr="0094499A">
        <w:rPr>
          <w:rFonts w:cs="Arial"/>
          <w:szCs w:val="22"/>
        </w:rPr>
        <w:t>— Capítulo 4. Transferencias corrientes. Tanto en la participación en los ingresos del estado</w:t>
      </w:r>
      <w:r w:rsidR="00C32124" w:rsidRPr="0094499A">
        <w:rPr>
          <w:rFonts w:cs="Arial"/>
          <w:szCs w:val="22"/>
        </w:rPr>
        <w:t xml:space="preserve"> (PTE)</w:t>
      </w:r>
      <w:r w:rsidRPr="0094499A">
        <w:rPr>
          <w:rFonts w:cs="Arial"/>
          <w:szCs w:val="22"/>
        </w:rPr>
        <w:t xml:space="preserve"> como en el resto de transferencias corrientes, podríamos aplicar la tasa de variación del PIB (</w:t>
      </w:r>
      <w:r w:rsidR="004B338C" w:rsidRPr="0094499A">
        <w:rPr>
          <w:rFonts w:cs="Arial"/>
          <w:szCs w:val="22"/>
        </w:rPr>
        <w:t>la elasticidad respecto al PIB es del 1,92 en el IRPF, del 1,15 en el caso del impuesto de sociedades, y del 1 en el caso de los impuestos indirectos). No obstante</w:t>
      </w:r>
      <w:r w:rsidR="004932C4" w:rsidRPr="0094499A">
        <w:rPr>
          <w:rFonts w:cs="Arial"/>
          <w:szCs w:val="22"/>
        </w:rPr>
        <w:t>,</w:t>
      </w:r>
      <w:r w:rsidR="004B338C" w:rsidRPr="0094499A">
        <w:rPr>
          <w:rFonts w:cs="Arial"/>
          <w:szCs w:val="22"/>
        </w:rPr>
        <w:t xml:space="preserve"> por un criterio de prudencia, </w:t>
      </w:r>
      <w:r w:rsidR="00C642B1" w:rsidRPr="0094499A">
        <w:rPr>
          <w:rFonts w:cs="Arial"/>
          <w:szCs w:val="22"/>
        </w:rPr>
        <w:t>atribui</w:t>
      </w:r>
      <w:r w:rsidR="004B338C" w:rsidRPr="0094499A">
        <w:rPr>
          <w:rFonts w:cs="Arial"/>
          <w:szCs w:val="22"/>
        </w:rPr>
        <w:t xml:space="preserve">mos </w:t>
      </w:r>
      <w:r w:rsidR="00C32124" w:rsidRPr="0094499A">
        <w:rPr>
          <w:rFonts w:cs="Arial"/>
          <w:szCs w:val="22"/>
        </w:rPr>
        <w:t xml:space="preserve">una </w:t>
      </w:r>
      <w:r w:rsidR="004B338C" w:rsidRPr="0094499A">
        <w:rPr>
          <w:rFonts w:cs="Arial"/>
          <w:szCs w:val="22"/>
        </w:rPr>
        <w:t>tasa de crecimiento anual</w:t>
      </w:r>
      <w:r w:rsidR="005D4621" w:rsidRPr="0094499A">
        <w:rPr>
          <w:rFonts w:cs="Arial"/>
          <w:szCs w:val="22"/>
        </w:rPr>
        <w:t xml:space="preserve"> del 1%</w:t>
      </w:r>
      <w:r w:rsidR="00C642B1" w:rsidRPr="0094499A">
        <w:rPr>
          <w:rFonts w:cs="Arial"/>
          <w:szCs w:val="22"/>
        </w:rPr>
        <w:t xml:space="preserve"> </w:t>
      </w:r>
      <w:r w:rsidR="00C32124" w:rsidRPr="0094499A">
        <w:rPr>
          <w:rFonts w:cs="Arial"/>
          <w:szCs w:val="22"/>
        </w:rPr>
        <w:t>a la PTE</w:t>
      </w:r>
      <w:r w:rsidR="005D4621" w:rsidRPr="0094499A">
        <w:rPr>
          <w:rFonts w:cs="Arial"/>
          <w:szCs w:val="22"/>
        </w:rPr>
        <w:t xml:space="preserve">, y </w:t>
      </w:r>
      <w:r w:rsidR="00C32124" w:rsidRPr="0094499A">
        <w:rPr>
          <w:rFonts w:cs="Arial"/>
          <w:szCs w:val="22"/>
        </w:rPr>
        <w:t xml:space="preserve">mantenemos </w:t>
      </w:r>
      <w:r w:rsidR="00D86B4B" w:rsidRPr="0094499A">
        <w:rPr>
          <w:rFonts w:cs="Arial"/>
          <w:szCs w:val="22"/>
        </w:rPr>
        <w:t>constantes</w:t>
      </w:r>
      <w:r w:rsidR="00C32124" w:rsidRPr="0094499A">
        <w:rPr>
          <w:rFonts w:cs="Arial"/>
          <w:szCs w:val="22"/>
        </w:rPr>
        <w:t xml:space="preserve"> el resto de transferencias</w:t>
      </w:r>
      <w:r w:rsidR="00D86B4B" w:rsidRPr="0094499A">
        <w:rPr>
          <w:rFonts w:cs="Arial"/>
          <w:szCs w:val="22"/>
        </w:rPr>
        <w:t>.</w:t>
      </w:r>
    </w:p>
    <w:p w:rsidR="00897214" w:rsidRPr="0094499A" w:rsidRDefault="0023064C" w:rsidP="00AD12EE">
      <w:pPr>
        <w:spacing w:after="240" w:line="276" w:lineRule="auto"/>
        <w:rPr>
          <w:rFonts w:cs="Arial"/>
          <w:szCs w:val="22"/>
        </w:rPr>
      </w:pPr>
      <w:r w:rsidRPr="0094499A">
        <w:rPr>
          <w:rFonts w:cs="Arial"/>
          <w:szCs w:val="22"/>
        </w:rPr>
        <w:t xml:space="preserve">— </w:t>
      </w:r>
      <w:r w:rsidR="00897214" w:rsidRPr="0094499A">
        <w:rPr>
          <w:rFonts w:cs="Arial"/>
          <w:szCs w:val="22"/>
        </w:rPr>
        <w:t xml:space="preserve">Capítulo 5. Ingresos patrimoniales. Se prevé su variación </w:t>
      </w:r>
      <w:r w:rsidR="00D86B4B" w:rsidRPr="0094499A">
        <w:rPr>
          <w:rFonts w:cs="Arial"/>
          <w:szCs w:val="22"/>
        </w:rPr>
        <w:t xml:space="preserve">también </w:t>
      </w:r>
      <w:r w:rsidR="00897214" w:rsidRPr="0094499A">
        <w:rPr>
          <w:rFonts w:cs="Arial"/>
          <w:szCs w:val="22"/>
        </w:rPr>
        <w:t>en</w:t>
      </w:r>
      <w:r w:rsidR="00D86B4B" w:rsidRPr="0094499A">
        <w:rPr>
          <w:rFonts w:cs="Arial"/>
          <w:szCs w:val="22"/>
        </w:rPr>
        <w:t xml:space="preserve"> 2</w:t>
      </w:r>
      <w:r w:rsidR="00037304" w:rsidRPr="0094499A">
        <w:rPr>
          <w:rFonts w:cs="Arial"/>
          <w:szCs w:val="22"/>
        </w:rPr>
        <w:t xml:space="preserve"> pp</w:t>
      </w:r>
      <w:r w:rsidR="00D86B4B" w:rsidRPr="0094499A">
        <w:rPr>
          <w:rFonts w:cs="Arial"/>
          <w:szCs w:val="22"/>
        </w:rPr>
        <w:t>.</w:t>
      </w:r>
      <w:r w:rsidR="00897214" w:rsidRPr="0094499A">
        <w:rPr>
          <w:rFonts w:cs="Arial"/>
          <w:szCs w:val="22"/>
        </w:rPr>
        <w:t xml:space="preserve"> </w:t>
      </w:r>
    </w:p>
    <w:p w:rsidR="00897214" w:rsidRPr="0094499A" w:rsidRDefault="00BC597B" w:rsidP="00AD12EE">
      <w:pPr>
        <w:spacing w:after="240" w:line="276" w:lineRule="auto"/>
        <w:rPr>
          <w:rFonts w:cs="Arial"/>
          <w:szCs w:val="22"/>
        </w:rPr>
      </w:pPr>
      <w:r w:rsidRPr="0094499A">
        <w:rPr>
          <w:rFonts w:cs="Arial"/>
          <w:i/>
          <w:szCs w:val="22"/>
        </w:rPr>
        <w:t>B)</w:t>
      </w:r>
      <w:r w:rsidR="00897214" w:rsidRPr="0094499A">
        <w:rPr>
          <w:rFonts w:cs="Arial"/>
          <w:i/>
          <w:szCs w:val="22"/>
        </w:rPr>
        <w:t xml:space="preserve"> </w:t>
      </w:r>
      <w:r w:rsidR="00F61C28" w:rsidRPr="0094499A">
        <w:rPr>
          <w:rFonts w:cs="Arial"/>
          <w:i/>
          <w:szCs w:val="22"/>
        </w:rPr>
        <w:t>I</w:t>
      </w:r>
      <w:r w:rsidR="00897214" w:rsidRPr="0094499A">
        <w:rPr>
          <w:rFonts w:cs="Arial"/>
          <w:i/>
          <w:szCs w:val="22"/>
        </w:rPr>
        <w:t>ngresos de capital</w:t>
      </w:r>
    </w:p>
    <w:p w:rsidR="00F61C28" w:rsidRPr="0094499A" w:rsidRDefault="00897214" w:rsidP="00AD12EE">
      <w:pPr>
        <w:spacing w:after="240" w:line="276" w:lineRule="auto"/>
        <w:rPr>
          <w:rFonts w:cs="Arial"/>
          <w:szCs w:val="22"/>
        </w:rPr>
      </w:pPr>
      <w:r w:rsidRPr="0094499A">
        <w:rPr>
          <w:rFonts w:cs="Arial"/>
          <w:szCs w:val="22"/>
        </w:rPr>
        <w:t xml:space="preserve">— Capítulo 6. Enajenación de inversiones reales. </w:t>
      </w:r>
      <w:r w:rsidR="00AD12EE" w:rsidRPr="0094499A">
        <w:rPr>
          <w:rFonts w:cs="Arial"/>
          <w:szCs w:val="22"/>
        </w:rPr>
        <w:t>Por un criterio de máxima prudencia, se sit</w:t>
      </w:r>
      <w:r w:rsidR="00037304" w:rsidRPr="0094499A">
        <w:rPr>
          <w:rFonts w:cs="Arial"/>
          <w:szCs w:val="22"/>
        </w:rPr>
        <w:t>úa</w:t>
      </w:r>
      <w:r w:rsidR="004932C4" w:rsidRPr="0094499A">
        <w:rPr>
          <w:rFonts w:cs="Arial"/>
          <w:szCs w:val="22"/>
        </w:rPr>
        <w:t xml:space="preserve">n en mínimos en 2022, y en </w:t>
      </w:r>
      <w:r w:rsidR="00037304" w:rsidRPr="0094499A">
        <w:rPr>
          <w:rFonts w:cs="Arial"/>
          <w:szCs w:val="22"/>
        </w:rPr>
        <w:t>2</w:t>
      </w:r>
      <w:r w:rsidR="00AD12EE" w:rsidRPr="0094499A">
        <w:rPr>
          <w:rFonts w:cs="Arial"/>
          <w:szCs w:val="22"/>
        </w:rPr>
        <w:t>00.000,00 euros</w:t>
      </w:r>
      <w:r w:rsidR="004932C4" w:rsidRPr="0094499A">
        <w:rPr>
          <w:rFonts w:cs="Arial"/>
          <w:szCs w:val="22"/>
        </w:rPr>
        <w:t xml:space="preserve"> a partir de 2023</w:t>
      </w:r>
      <w:r w:rsidR="00CC110E" w:rsidRPr="0094499A">
        <w:rPr>
          <w:rFonts w:cs="Arial"/>
          <w:szCs w:val="22"/>
        </w:rPr>
        <w:t>.</w:t>
      </w:r>
      <w:r w:rsidR="009E0667" w:rsidRPr="0094499A">
        <w:rPr>
          <w:rFonts w:cs="Arial"/>
          <w:szCs w:val="22"/>
        </w:rPr>
        <w:t xml:space="preserve"> </w:t>
      </w:r>
      <w:r w:rsidR="00037304" w:rsidRPr="0094499A">
        <w:rPr>
          <w:rFonts w:cs="Arial"/>
          <w:szCs w:val="22"/>
        </w:rPr>
        <w:t>No obstante</w:t>
      </w:r>
      <w:r w:rsidR="009E0667" w:rsidRPr="0094499A">
        <w:rPr>
          <w:rFonts w:cs="Arial"/>
          <w:szCs w:val="22"/>
        </w:rPr>
        <w:t xml:space="preserve">, hay que señalar que se trata de una fuente de ingresos </w:t>
      </w:r>
      <w:r w:rsidR="00CC110E" w:rsidRPr="0094499A">
        <w:rPr>
          <w:rFonts w:cs="Arial"/>
          <w:szCs w:val="22"/>
        </w:rPr>
        <w:t>con un fuerte componente aleatorio</w:t>
      </w:r>
      <w:r w:rsidR="009E0667" w:rsidRPr="0094499A">
        <w:rPr>
          <w:rFonts w:cs="Arial"/>
          <w:szCs w:val="22"/>
        </w:rPr>
        <w:t>, tanto a la baja como al alza.</w:t>
      </w:r>
    </w:p>
    <w:p w:rsidR="00F61C28" w:rsidRPr="0094499A" w:rsidRDefault="00F61C28" w:rsidP="00AD12EE">
      <w:pPr>
        <w:spacing w:after="240" w:line="276" w:lineRule="auto"/>
        <w:rPr>
          <w:rFonts w:cs="Arial"/>
          <w:szCs w:val="22"/>
        </w:rPr>
      </w:pPr>
      <w:r w:rsidRPr="0094499A">
        <w:rPr>
          <w:rFonts w:cs="Arial"/>
          <w:szCs w:val="22"/>
        </w:rPr>
        <w:t xml:space="preserve">— Capítulo 7. Transferencias de capital. </w:t>
      </w:r>
      <w:r w:rsidR="00FE2EF4" w:rsidRPr="0094499A">
        <w:rPr>
          <w:rFonts w:cs="Arial"/>
          <w:szCs w:val="22"/>
        </w:rPr>
        <w:t xml:space="preserve">También por tratarse de una fuente de financiación incierta, se mantiene </w:t>
      </w:r>
      <w:r w:rsidR="00037304" w:rsidRPr="0094499A">
        <w:rPr>
          <w:rFonts w:cs="Arial"/>
          <w:szCs w:val="22"/>
        </w:rPr>
        <w:t>una actualización de 1 pp anual</w:t>
      </w:r>
      <w:r w:rsidR="004932C4" w:rsidRPr="0094499A">
        <w:rPr>
          <w:rFonts w:cs="Arial"/>
          <w:szCs w:val="22"/>
        </w:rPr>
        <w:t>.</w:t>
      </w:r>
    </w:p>
    <w:p w:rsidR="00F61C28" w:rsidRPr="0094499A" w:rsidRDefault="00BC597B" w:rsidP="00AD12EE">
      <w:pPr>
        <w:spacing w:after="240" w:line="276" w:lineRule="auto"/>
        <w:rPr>
          <w:rFonts w:cs="Arial"/>
          <w:szCs w:val="22"/>
        </w:rPr>
      </w:pPr>
      <w:r w:rsidRPr="0094499A">
        <w:rPr>
          <w:rFonts w:cs="Arial"/>
          <w:i/>
          <w:szCs w:val="22"/>
        </w:rPr>
        <w:t>C)</w:t>
      </w:r>
      <w:r w:rsidR="00F61C28" w:rsidRPr="0094499A">
        <w:rPr>
          <w:rFonts w:cs="Arial"/>
          <w:i/>
          <w:szCs w:val="22"/>
        </w:rPr>
        <w:t xml:space="preserve"> Ingresos </w:t>
      </w:r>
      <w:r w:rsidRPr="0094499A">
        <w:rPr>
          <w:rFonts w:cs="Arial"/>
          <w:i/>
          <w:szCs w:val="22"/>
        </w:rPr>
        <w:t>Financieros</w:t>
      </w:r>
    </w:p>
    <w:p w:rsidR="00BC597B" w:rsidRPr="0094499A" w:rsidRDefault="00BC597B" w:rsidP="00AD12EE">
      <w:pPr>
        <w:spacing w:after="240" w:line="276" w:lineRule="auto"/>
        <w:rPr>
          <w:rFonts w:cs="Arial"/>
          <w:szCs w:val="22"/>
        </w:rPr>
      </w:pPr>
      <w:r w:rsidRPr="0094499A">
        <w:rPr>
          <w:rFonts w:cs="Arial"/>
          <w:szCs w:val="22"/>
        </w:rPr>
        <w:t>— Capítulo 8. Ingresos por activos financieros. Se mantienen inalterados en 4</w:t>
      </w:r>
      <w:r w:rsidR="004932C4" w:rsidRPr="0094499A">
        <w:rPr>
          <w:rFonts w:cs="Arial"/>
          <w:szCs w:val="22"/>
        </w:rPr>
        <w:t>2</w:t>
      </w:r>
      <w:r w:rsidRPr="0094499A">
        <w:rPr>
          <w:rFonts w:cs="Arial"/>
          <w:szCs w:val="22"/>
        </w:rPr>
        <w:t>.070,00 euros.</w:t>
      </w:r>
    </w:p>
    <w:p w:rsidR="00BC597B" w:rsidRPr="0094499A" w:rsidRDefault="00BC597B" w:rsidP="00AD12EE">
      <w:pPr>
        <w:spacing w:after="240" w:line="276" w:lineRule="auto"/>
        <w:rPr>
          <w:rFonts w:cs="Arial"/>
          <w:szCs w:val="22"/>
        </w:rPr>
      </w:pPr>
      <w:r w:rsidRPr="0094499A">
        <w:rPr>
          <w:rFonts w:cs="Arial"/>
          <w:szCs w:val="22"/>
        </w:rPr>
        <w:t>— Capítulo 9. Ingresos por pasivos financieros. Para el periodo 20</w:t>
      </w:r>
      <w:r w:rsidR="00037304" w:rsidRPr="0094499A">
        <w:rPr>
          <w:rFonts w:cs="Arial"/>
          <w:szCs w:val="22"/>
        </w:rPr>
        <w:t>2</w:t>
      </w:r>
      <w:r w:rsidR="004932C4" w:rsidRPr="0094499A">
        <w:rPr>
          <w:rFonts w:cs="Arial"/>
          <w:szCs w:val="22"/>
        </w:rPr>
        <w:t>1</w:t>
      </w:r>
      <w:r w:rsidRPr="0094499A">
        <w:rPr>
          <w:rFonts w:cs="Arial"/>
          <w:szCs w:val="22"/>
        </w:rPr>
        <w:t>-202</w:t>
      </w:r>
      <w:r w:rsidR="004932C4" w:rsidRPr="0094499A">
        <w:rPr>
          <w:rFonts w:cs="Arial"/>
          <w:szCs w:val="22"/>
        </w:rPr>
        <w:t>4</w:t>
      </w:r>
      <w:r w:rsidRPr="0094499A">
        <w:rPr>
          <w:rFonts w:cs="Arial"/>
          <w:szCs w:val="22"/>
        </w:rPr>
        <w:t xml:space="preserve"> no hay previsión de recurrir a operaciones de crédito, por lo que no se consideran ingresos de esta naturaleza.</w:t>
      </w:r>
    </w:p>
    <w:p w:rsidR="00CF226F" w:rsidRPr="0094499A" w:rsidRDefault="00031BF5" w:rsidP="00AD12EE">
      <w:pPr>
        <w:spacing w:after="240" w:line="276" w:lineRule="auto"/>
        <w:rPr>
          <w:rFonts w:cs="Arial"/>
          <w:szCs w:val="22"/>
        </w:rPr>
      </w:pPr>
      <w:r w:rsidRPr="0094499A">
        <w:rPr>
          <w:rFonts w:cs="Arial"/>
          <w:szCs w:val="22"/>
        </w:rPr>
        <w:t>El contenido del formulario F.2.1.1. “Ingresos”, se muestra en la tabla 6.</w:t>
      </w:r>
    </w:p>
    <w:p w:rsidR="00031BF5" w:rsidRDefault="00031BF5">
      <w:pPr>
        <w:jc w:val="left"/>
        <w:rPr>
          <w:rFonts w:cs="Arial"/>
          <w:szCs w:val="22"/>
        </w:rPr>
      </w:pPr>
      <w:r>
        <w:rPr>
          <w:rFonts w:cs="Arial"/>
          <w:szCs w:val="22"/>
        </w:rPr>
        <w:br w:type="page"/>
      </w:r>
    </w:p>
    <w:p w:rsidR="00031BF5" w:rsidRDefault="00031BF5" w:rsidP="00AD12EE">
      <w:pPr>
        <w:spacing w:line="276" w:lineRule="auto"/>
        <w:rPr>
          <w:rFonts w:cs="Arial"/>
          <w:b/>
          <w:sz w:val="18"/>
          <w:szCs w:val="22"/>
        </w:rPr>
      </w:pPr>
      <w:r w:rsidRPr="00031BF5">
        <w:rPr>
          <w:rFonts w:cs="Arial"/>
          <w:b/>
          <w:sz w:val="18"/>
          <w:szCs w:val="22"/>
        </w:rPr>
        <w:lastRenderedPageBreak/>
        <w:t>Tabla 6</w:t>
      </w:r>
      <w:r>
        <w:rPr>
          <w:rFonts w:cs="Arial"/>
          <w:b/>
          <w:sz w:val="18"/>
          <w:szCs w:val="22"/>
        </w:rPr>
        <w:t>. Formulario F.2.1.1. Ingresos</w:t>
      </w:r>
    </w:p>
    <w:p w:rsidR="00031BF5" w:rsidRPr="00031BF5" w:rsidRDefault="004932C4" w:rsidP="00AD12EE">
      <w:pPr>
        <w:spacing w:after="240" w:line="276" w:lineRule="auto"/>
        <w:rPr>
          <w:rFonts w:cs="Arial"/>
          <w:b/>
          <w:sz w:val="18"/>
          <w:szCs w:val="22"/>
        </w:rPr>
      </w:pPr>
      <w:r w:rsidRPr="004932C4">
        <w:rPr>
          <w:noProof/>
        </w:rPr>
        <w:drawing>
          <wp:inline distT="0" distB="0" distL="0" distR="0">
            <wp:extent cx="5400040" cy="55321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5532120"/>
                    </a:xfrm>
                    <a:prstGeom prst="rect">
                      <a:avLst/>
                    </a:prstGeom>
                    <a:noFill/>
                    <a:ln>
                      <a:noFill/>
                    </a:ln>
                  </pic:spPr>
                </pic:pic>
              </a:graphicData>
            </a:graphic>
          </wp:inline>
        </w:drawing>
      </w:r>
    </w:p>
    <w:p w:rsidR="0049124D" w:rsidRDefault="0049124D" w:rsidP="00AD12EE">
      <w:pPr>
        <w:spacing w:after="240" w:line="276" w:lineRule="auto"/>
        <w:rPr>
          <w:rFonts w:cs="Arial"/>
          <w:szCs w:val="22"/>
        </w:rPr>
      </w:pPr>
      <w:r>
        <w:rPr>
          <w:rFonts w:cs="Arial"/>
          <w:szCs w:val="22"/>
        </w:rPr>
        <w:t>1.</w:t>
      </w:r>
      <w:r w:rsidRPr="00A6141D">
        <w:rPr>
          <w:rFonts w:cs="Arial"/>
          <w:szCs w:val="22"/>
        </w:rPr>
        <w:t xml:space="preserve"> Proyecciones de </w:t>
      </w:r>
      <w:r>
        <w:rPr>
          <w:rFonts w:cs="Arial"/>
          <w:szCs w:val="22"/>
        </w:rPr>
        <w:t>gast</w:t>
      </w:r>
      <w:r w:rsidRPr="00A6141D">
        <w:rPr>
          <w:rFonts w:cs="Arial"/>
          <w:szCs w:val="22"/>
        </w:rPr>
        <w:t xml:space="preserve">os </w:t>
      </w:r>
    </w:p>
    <w:p w:rsidR="00BC597B" w:rsidRDefault="0049124D" w:rsidP="00AD12EE">
      <w:pPr>
        <w:spacing w:after="240" w:line="276" w:lineRule="auto"/>
        <w:rPr>
          <w:rFonts w:cs="Arial"/>
          <w:szCs w:val="22"/>
        </w:rPr>
      </w:pPr>
      <w:r w:rsidRPr="00BC597B">
        <w:rPr>
          <w:rFonts w:cs="Arial"/>
          <w:i/>
          <w:szCs w:val="22"/>
        </w:rPr>
        <w:t xml:space="preserve">A). </w:t>
      </w:r>
      <w:r>
        <w:rPr>
          <w:rFonts w:cs="Arial"/>
          <w:i/>
          <w:szCs w:val="22"/>
        </w:rPr>
        <w:t>Gast</w:t>
      </w:r>
      <w:r w:rsidRPr="00BC597B">
        <w:rPr>
          <w:rFonts w:cs="Arial"/>
          <w:i/>
          <w:szCs w:val="22"/>
        </w:rPr>
        <w:t>os corrientes</w:t>
      </w:r>
    </w:p>
    <w:p w:rsidR="00BC597B" w:rsidRDefault="0049124D" w:rsidP="00DD5277">
      <w:pPr>
        <w:spacing w:after="240" w:line="276" w:lineRule="auto"/>
        <w:rPr>
          <w:rFonts w:cs="Arial"/>
          <w:szCs w:val="22"/>
        </w:rPr>
      </w:pPr>
      <w:r w:rsidRPr="00B80034">
        <w:rPr>
          <w:rFonts w:cs="Arial"/>
          <w:szCs w:val="22"/>
        </w:rPr>
        <w:t>—</w:t>
      </w:r>
      <w:r>
        <w:rPr>
          <w:rFonts w:cs="Arial"/>
          <w:szCs w:val="22"/>
        </w:rPr>
        <w:t xml:space="preserve"> Capítulo 1. Gastos de personal. Se </w:t>
      </w:r>
      <w:r w:rsidR="00DD5277">
        <w:rPr>
          <w:rFonts w:cs="Arial"/>
          <w:szCs w:val="22"/>
        </w:rPr>
        <w:t xml:space="preserve">proyecta </w:t>
      </w:r>
      <w:r w:rsidR="00373713">
        <w:rPr>
          <w:rFonts w:cs="Arial"/>
          <w:szCs w:val="22"/>
        </w:rPr>
        <w:t xml:space="preserve">una </w:t>
      </w:r>
      <w:r w:rsidR="00DD5277">
        <w:rPr>
          <w:rFonts w:cs="Arial"/>
          <w:szCs w:val="22"/>
        </w:rPr>
        <w:t xml:space="preserve">evolución </w:t>
      </w:r>
      <w:r w:rsidR="00373713">
        <w:rPr>
          <w:rFonts w:cs="Arial"/>
          <w:szCs w:val="22"/>
        </w:rPr>
        <w:t>de 1,75 pp en 2022, 1,50 pp en 2023, y de 2 pp en 2024.</w:t>
      </w:r>
    </w:p>
    <w:p w:rsidR="00AD73C3" w:rsidRDefault="0049124D" w:rsidP="00AD12EE">
      <w:pPr>
        <w:spacing w:after="240" w:line="276" w:lineRule="auto"/>
        <w:rPr>
          <w:rFonts w:cs="Arial"/>
          <w:szCs w:val="22"/>
        </w:rPr>
      </w:pPr>
      <w:r w:rsidRPr="00B80034">
        <w:rPr>
          <w:rFonts w:cs="Arial"/>
          <w:szCs w:val="22"/>
        </w:rPr>
        <w:t>—</w:t>
      </w:r>
      <w:r>
        <w:rPr>
          <w:rFonts w:cs="Arial"/>
          <w:szCs w:val="22"/>
        </w:rPr>
        <w:t xml:space="preserve"> Capítulo 2. </w:t>
      </w:r>
      <w:r w:rsidR="00AD73C3">
        <w:rPr>
          <w:rFonts w:cs="Arial"/>
          <w:szCs w:val="22"/>
        </w:rPr>
        <w:t xml:space="preserve">Gastos corrientes en bienes y servicios. A estos gastos, segundos en importancia, hemos aplicado una tasa de crecimiento </w:t>
      </w:r>
      <w:r w:rsidR="00373713">
        <w:rPr>
          <w:rFonts w:cs="Arial"/>
          <w:szCs w:val="22"/>
        </w:rPr>
        <w:t xml:space="preserve">1,50 pp en 2022, 1,75 pp en 2023, y 2,00 pp en 2024, que si bien se sitúan por encima del deflactor </w:t>
      </w:r>
      <w:r w:rsidR="00AD73C3">
        <w:rPr>
          <w:rFonts w:cs="Arial"/>
          <w:szCs w:val="22"/>
        </w:rPr>
        <w:t xml:space="preserve">del PIB </w:t>
      </w:r>
      <w:r w:rsidR="00373713">
        <w:rPr>
          <w:rFonts w:cs="Arial"/>
          <w:szCs w:val="22"/>
        </w:rPr>
        <w:t xml:space="preserve">en el escenario suave (de mayor inflación), esto es debido al aumento y mejora que se produce en </w:t>
      </w:r>
      <w:proofErr w:type="gramStart"/>
      <w:r w:rsidR="00373713">
        <w:rPr>
          <w:rFonts w:cs="Arial"/>
          <w:szCs w:val="22"/>
        </w:rPr>
        <w:t>las prestación</w:t>
      </w:r>
      <w:proofErr w:type="gramEnd"/>
      <w:r w:rsidR="00373713">
        <w:rPr>
          <w:rFonts w:cs="Arial"/>
          <w:szCs w:val="22"/>
        </w:rPr>
        <w:t xml:space="preserve"> de servicios municipales públicos. </w:t>
      </w:r>
    </w:p>
    <w:p w:rsidR="00030833" w:rsidRDefault="00AD73C3" w:rsidP="00DB5B17">
      <w:pPr>
        <w:spacing w:before="240" w:after="240" w:line="276" w:lineRule="auto"/>
        <w:rPr>
          <w:rFonts w:cs="Arial"/>
          <w:szCs w:val="22"/>
        </w:rPr>
      </w:pPr>
      <w:r w:rsidRPr="00B80034">
        <w:rPr>
          <w:rFonts w:cs="Arial"/>
          <w:szCs w:val="22"/>
        </w:rPr>
        <w:lastRenderedPageBreak/>
        <w:t>—</w:t>
      </w:r>
      <w:r>
        <w:rPr>
          <w:rFonts w:cs="Arial"/>
          <w:szCs w:val="22"/>
        </w:rPr>
        <w:t xml:space="preserve"> Capítulo 3. Gastos financieros. Estos gastos </w:t>
      </w:r>
      <w:r w:rsidR="00176AD5">
        <w:rPr>
          <w:rFonts w:cs="Arial"/>
          <w:szCs w:val="22"/>
        </w:rPr>
        <w:t>se sitúan</w:t>
      </w:r>
      <w:r w:rsidR="00DD5277">
        <w:rPr>
          <w:rFonts w:cs="Arial"/>
          <w:szCs w:val="22"/>
        </w:rPr>
        <w:t xml:space="preserve"> en una senda descendente, en parte por la disminución del volumen de deuda financiera como consecuencia de las amortizaciones anuales</w:t>
      </w:r>
      <w:r w:rsidR="00037304">
        <w:rPr>
          <w:rFonts w:cs="Arial"/>
          <w:szCs w:val="22"/>
        </w:rPr>
        <w:t xml:space="preserve">, </w:t>
      </w:r>
      <w:r w:rsidR="00DD5277">
        <w:rPr>
          <w:rFonts w:cs="Arial"/>
          <w:szCs w:val="22"/>
        </w:rPr>
        <w:t>y en parte porque la mayor parte de los préstamos están referenciados</w:t>
      </w:r>
      <w:r>
        <w:rPr>
          <w:rFonts w:cs="Arial"/>
          <w:szCs w:val="22"/>
        </w:rPr>
        <w:t xml:space="preserve"> al Euribor trimestral, y este se espera que se mantenga en valores negativos hasta</w:t>
      </w:r>
      <w:r w:rsidR="009342FA">
        <w:rPr>
          <w:rFonts w:cs="Arial"/>
          <w:szCs w:val="22"/>
        </w:rPr>
        <w:t xml:space="preserve"> 20</w:t>
      </w:r>
      <w:r w:rsidR="00373713">
        <w:rPr>
          <w:rFonts w:cs="Arial"/>
          <w:szCs w:val="22"/>
        </w:rPr>
        <w:t xml:space="preserve">23 </w:t>
      </w:r>
      <w:r w:rsidR="00DD5277">
        <w:rPr>
          <w:rFonts w:cs="Arial"/>
          <w:szCs w:val="22"/>
        </w:rPr>
        <w:t xml:space="preserve">(tabla 5). </w:t>
      </w:r>
    </w:p>
    <w:p w:rsidR="009342FA" w:rsidRDefault="009342FA" w:rsidP="00DD5277">
      <w:pPr>
        <w:spacing w:after="240" w:line="276" w:lineRule="auto"/>
        <w:rPr>
          <w:rFonts w:cs="Arial"/>
          <w:szCs w:val="22"/>
        </w:rPr>
      </w:pPr>
      <w:r w:rsidRPr="00B80034">
        <w:rPr>
          <w:rFonts w:cs="Arial"/>
          <w:szCs w:val="22"/>
        </w:rPr>
        <w:t>—</w:t>
      </w:r>
      <w:r>
        <w:rPr>
          <w:rFonts w:cs="Arial"/>
          <w:szCs w:val="22"/>
        </w:rPr>
        <w:t xml:space="preserve"> Capítulo 4. Transferencias corrientes. Se prevé una variación de</w:t>
      </w:r>
      <w:r w:rsidR="00037304">
        <w:rPr>
          <w:rFonts w:cs="Arial"/>
          <w:szCs w:val="22"/>
        </w:rPr>
        <w:t xml:space="preserve"> 2 pp</w:t>
      </w:r>
      <w:r w:rsidR="00373713">
        <w:rPr>
          <w:rFonts w:cs="Arial"/>
          <w:szCs w:val="22"/>
        </w:rPr>
        <w:t xml:space="preserve"> en 2022, y del 1,75 pp el resto de ejercicios</w:t>
      </w:r>
      <w:r w:rsidR="00037304">
        <w:rPr>
          <w:rFonts w:cs="Arial"/>
          <w:szCs w:val="22"/>
        </w:rPr>
        <w:t>.</w:t>
      </w:r>
    </w:p>
    <w:p w:rsidR="0096213D" w:rsidRDefault="009342FA" w:rsidP="00DD5277">
      <w:pPr>
        <w:spacing w:after="240" w:line="276" w:lineRule="auto"/>
        <w:rPr>
          <w:rFonts w:cs="Arial"/>
          <w:szCs w:val="22"/>
        </w:rPr>
      </w:pPr>
      <w:r w:rsidRPr="00B80034">
        <w:rPr>
          <w:rFonts w:cs="Arial"/>
          <w:szCs w:val="22"/>
        </w:rPr>
        <w:t>—</w:t>
      </w:r>
      <w:r>
        <w:rPr>
          <w:rFonts w:cs="Arial"/>
          <w:szCs w:val="22"/>
        </w:rPr>
        <w:t xml:space="preserve"> Capítulo 5. Fondo de contingencia. </w:t>
      </w:r>
      <w:r w:rsidR="0096213D">
        <w:rPr>
          <w:rFonts w:cs="Arial"/>
          <w:szCs w:val="22"/>
        </w:rPr>
        <w:t>Esta partida, cuya finalidad es hacer frente en caso de necesidad a gastos imprevis</w:t>
      </w:r>
      <w:r w:rsidR="00037304">
        <w:rPr>
          <w:rFonts w:cs="Arial"/>
          <w:szCs w:val="22"/>
        </w:rPr>
        <w:t>tos, se mantiene constante en 19</w:t>
      </w:r>
      <w:r w:rsidR="0096213D">
        <w:rPr>
          <w:rFonts w:cs="Arial"/>
          <w:szCs w:val="22"/>
        </w:rPr>
        <w:t>1.500,00 euros</w:t>
      </w:r>
      <w:r w:rsidR="00037304">
        <w:rPr>
          <w:rFonts w:cs="Arial"/>
          <w:szCs w:val="22"/>
        </w:rPr>
        <w:t xml:space="preserve"> (de los que 161.500,00 euros corresponden al Ayuntamiento, </w:t>
      </w:r>
      <w:r w:rsidR="00373713">
        <w:rPr>
          <w:rFonts w:cs="Arial"/>
          <w:szCs w:val="22"/>
        </w:rPr>
        <w:t>y</w:t>
      </w:r>
      <w:r w:rsidR="00037304">
        <w:rPr>
          <w:rFonts w:cs="Arial"/>
          <w:szCs w:val="22"/>
        </w:rPr>
        <w:t xml:space="preserve"> 30.000,00 euros a la Comunidad de Usuarios)</w:t>
      </w:r>
      <w:r w:rsidR="0096213D">
        <w:rPr>
          <w:rFonts w:cs="Arial"/>
          <w:szCs w:val="22"/>
        </w:rPr>
        <w:t>.</w:t>
      </w:r>
    </w:p>
    <w:p w:rsidR="0096213D" w:rsidRPr="00B40EA9" w:rsidRDefault="00D37B71" w:rsidP="00DD5277">
      <w:pPr>
        <w:spacing w:after="240" w:line="276" w:lineRule="auto"/>
        <w:rPr>
          <w:rFonts w:cs="Arial"/>
          <w:szCs w:val="22"/>
        </w:rPr>
      </w:pPr>
      <w:r w:rsidRPr="00B40EA9">
        <w:rPr>
          <w:rFonts w:cs="Arial"/>
          <w:i/>
          <w:szCs w:val="22"/>
        </w:rPr>
        <w:t>B). Gastos de capital</w:t>
      </w:r>
    </w:p>
    <w:p w:rsidR="00D37B71" w:rsidRDefault="00D37B71" w:rsidP="00DD5277">
      <w:pPr>
        <w:spacing w:after="240" w:line="276" w:lineRule="auto"/>
        <w:rPr>
          <w:rFonts w:cs="Arial"/>
          <w:szCs w:val="22"/>
        </w:rPr>
      </w:pPr>
      <w:r w:rsidRPr="00B40EA9">
        <w:rPr>
          <w:rFonts w:cs="Arial"/>
          <w:szCs w:val="22"/>
        </w:rPr>
        <w:t xml:space="preserve">— Capítulo 6. </w:t>
      </w:r>
      <w:r w:rsidRPr="00D37B71">
        <w:rPr>
          <w:rFonts w:cs="Arial"/>
          <w:szCs w:val="22"/>
        </w:rPr>
        <w:t>Inversiones reales</w:t>
      </w:r>
      <w:r>
        <w:rPr>
          <w:rFonts w:cs="Arial"/>
          <w:szCs w:val="22"/>
        </w:rPr>
        <w:t xml:space="preserve">. Se estima </w:t>
      </w:r>
      <w:r w:rsidR="00DB5B17">
        <w:rPr>
          <w:rFonts w:cs="Arial"/>
          <w:szCs w:val="22"/>
        </w:rPr>
        <w:t>un importe constante y anual de 1.000.000,00 de euros. No obstante, hay que indicar que la formación de capital público se encuentra en buena medida correlacionada con la capacidad de financiación, el remanente de tesorería, y la financiación que se reciba de otras administraciones</w:t>
      </w:r>
      <w:r>
        <w:rPr>
          <w:rFonts w:cs="Arial"/>
          <w:szCs w:val="22"/>
        </w:rPr>
        <w:t>.</w:t>
      </w:r>
      <w:r w:rsidR="00DB5B17">
        <w:rPr>
          <w:rFonts w:cs="Arial"/>
          <w:szCs w:val="22"/>
        </w:rPr>
        <w:t xml:space="preserve"> Por lo que el importe consignado muestra un punto de referencia y no un objetivo</w:t>
      </w:r>
      <w:r w:rsidR="00037304">
        <w:rPr>
          <w:rFonts w:cs="Arial"/>
          <w:szCs w:val="22"/>
        </w:rPr>
        <w:t xml:space="preserve"> en sí mismo</w:t>
      </w:r>
      <w:r w:rsidR="00DB5B17">
        <w:rPr>
          <w:rFonts w:cs="Arial"/>
          <w:szCs w:val="22"/>
        </w:rPr>
        <w:t>.</w:t>
      </w:r>
    </w:p>
    <w:p w:rsidR="000C40FC" w:rsidRDefault="00D37B71" w:rsidP="00DD5277">
      <w:pPr>
        <w:spacing w:after="240" w:line="276" w:lineRule="auto"/>
        <w:rPr>
          <w:rFonts w:cs="Arial"/>
          <w:szCs w:val="22"/>
        </w:rPr>
      </w:pPr>
      <w:r w:rsidRPr="00D37B71">
        <w:rPr>
          <w:rFonts w:cs="Arial"/>
          <w:i/>
          <w:szCs w:val="22"/>
        </w:rPr>
        <w:t>— Capítulo 7. Transferencias de capital</w:t>
      </w:r>
      <w:r>
        <w:rPr>
          <w:rFonts w:cs="Arial"/>
          <w:szCs w:val="22"/>
        </w:rPr>
        <w:t xml:space="preserve">. En este caso no se realiza ninguna estimación. En caso de </w:t>
      </w:r>
      <w:r w:rsidR="00EB177B">
        <w:rPr>
          <w:rFonts w:cs="Arial"/>
          <w:szCs w:val="22"/>
        </w:rPr>
        <w:t>aproba</w:t>
      </w:r>
      <w:r>
        <w:rPr>
          <w:rFonts w:cs="Arial"/>
          <w:szCs w:val="22"/>
        </w:rPr>
        <w:t>rse subvenciones de esta naturaleza</w:t>
      </w:r>
      <w:r w:rsidR="000C40FC">
        <w:rPr>
          <w:rFonts w:cs="Arial"/>
          <w:szCs w:val="22"/>
        </w:rPr>
        <w:t>, se dotará la oportuna aplicación presupuestaria</w:t>
      </w:r>
      <w:r w:rsidR="009E0667">
        <w:rPr>
          <w:rFonts w:cs="Arial"/>
          <w:szCs w:val="22"/>
        </w:rPr>
        <w:t xml:space="preserve"> en gastos</w:t>
      </w:r>
      <w:r w:rsidR="000C40FC">
        <w:rPr>
          <w:rFonts w:cs="Arial"/>
          <w:szCs w:val="22"/>
        </w:rPr>
        <w:t>.</w:t>
      </w:r>
    </w:p>
    <w:p w:rsidR="00AD73C3" w:rsidRDefault="000C40FC" w:rsidP="00DD5277">
      <w:pPr>
        <w:spacing w:after="240" w:line="276" w:lineRule="auto"/>
        <w:rPr>
          <w:rFonts w:cs="Arial"/>
          <w:szCs w:val="22"/>
        </w:rPr>
      </w:pPr>
      <w:r>
        <w:rPr>
          <w:rFonts w:cs="Arial"/>
          <w:i/>
          <w:szCs w:val="22"/>
        </w:rPr>
        <w:t>C) Gastos financieros</w:t>
      </w:r>
    </w:p>
    <w:p w:rsidR="000C40FC" w:rsidRDefault="000C40FC" w:rsidP="00DD5277">
      <w:pPr>
        <w:spacing w:after="240" w:line="276" w:lineRule="auto"/>
        <w:rPr>
          <w:rFonts w:cs="Arial"/>
          <w:szCs w:val="22"/>
        </w:rPr>
      </w:pPr>
      <w:r w:rsidRPr="00B80034">
        <w:rPr>
          <w:rFonts w:cs="Arial"/>
          <w:szCs w:val="22"/>
        </w:rPr>
        <w:t>—</w:t>
      </w:r>
      <w:r>
        <w:rPr>
          <w:rFonts w:cs="Arial"/>
          <w:szCs w:val="22"/>
        </w:rPr>
        <w:t xml:space="preserve"> Capítulo 8. Gastos por activos financieros. De igual cuantía que el capítulo 8 de ingresos.</w:t>
      </w:r>
    </w:p>
    <w:p w:rsidR="00031BF5" w:rsidRDefault="000C40FC" w:rsidP="00DD5277">
      <w:pPr>
        <w:spacing w:after="240" w:line="276" w:lineRule="auto"/>
        <w:rPr>
          <w:rFonts w:cs="Arial"/>
          <w:szCs w:val="22"/>
        </w:rPr>
      </w:pPr>
      <w:r w:rsidRPr="00B80034">
        <w:rPr>
          <w:rFonts w:cs="Arial"/>
          <w:szCs w:val="22"/>
        </w:rPr>
        <w:t>—</w:t>
      </w:r>
      <w:r>
        <w:rPr>
          <w:rFonts w:cs="Arial"/>
          <w:szCs w:val="22"/>
        </w:rPr>
        <w:t xml:space="preserve"> Capítulo 9. Gastos por pasivos financieros. </w:t>
      </w:r>
      <w:r w:rsidR="00DB5B17">
        <w:rPr>
          <w:rFonts w:cs="Arial"/>
          <w:szCs w:val="22"/>
        </w:rPr>
        <w:t>A</w:t>
      </w:r>
      <w:r w:rsidR="00DB18CC">
        <w:rPr>
          <w:rFonts w:cs="Arial"/>
          <w:szCs w:val="22"/>
        </w:rPr>
        <w:t xml:space="preserve"> 31 de diciembre de 2021, la </w:t>
      </w:r>
      <w:r w:rsidR="00DB5B17">
        <w:rPr>
          <w:rFonts w:cs="Arial"/>
          <w:szCs w:val="22"/>
        </w:rPr>
        <w:t xml:space="preserve">deuda financiera </w:t>
      </w:r>
      <w:r w:rsidR="00DB18CC">
        <w:rPr>
          <w:rFonts w:cs="Arial"/>
          <w:szCs w:val="22"/>
        </w:rPr>
        <w:t>se situará en 4.478.313,63 euros, y en 2024 se prevé un</w:t>
      </w:r>
      <w:r w:rsidR="00176AD5">
        <w:rPr>
          <w:rFonts w:cs="Arial"/>
          <w:szCs w:val="22"/>
        </w:rPr>
        <w:t xml:space="preserve"> monto</w:t>
      </w:r>
      <w:r w:rsidR="00DB18CC">
        <w:rPr>
          <w:rFonts w:cs="Arial"/>
          <w:szCs w:val="22"/>
        </w:rPr>
        <w:t xml:space="preserve"> de la misma de 1.879.656,39</w:t>
      </w:r>
      <w:r w:rsidR="00DB5B17">
        <w:rPr>
          <w:rFonts w:cs="Arial"/>
          <w:szCs w:val="22"/>
        </w:rPr>
        <w:t xml:space="preserve"> euros.</w:t>
      </w:r>
    </w:p>
    <w:p w:rsidR="00031BF5" w:rsidRDefault="00031BF5" w:rsidP="00DD5277">
      <w:pPr>
        <w:spacing w:after="240" w:line="276" w:lineRule="auto"/>
        <w:rPr>
          <w:rFonts w:cs="Arial"/>
          <w:szCs w:val="22"/>
        </w:rPr>
      </w:pPr>
      <w:r>
        <w:rPr>
          <w:rFonts w:cs="Arial"/>
          <w:szCs w:val="22"/>
        </w:rPr>
        <w:t>Las proyecciones de gastos, formulario F.2.1.2., figuran en la tabla 7.</w:t>
      </w:r>
    </w:p>
    <w:p w:rsidR="00031BF5" w:rsidRDefault="00031BF5" w:rsidP="00DD5277">
      <w:pPr>
        <w:spacing w:after="240" w:line="276" w:lineRule="auto"/>
        <w:rPr>
          <w:rFonts w:cs="Arial"/>
          <w:szCs w:val="22"/>
        </w:rPr>
      </w:pPr>
    </w:p>
    <w:p w:rsidR="00DB18CC" w:rsidRDefault="00DB18CC" w:rsidP="00DD5277">
      <w:pPr>
        <w:spacing w:after="240" w:line="276" w:lineRule="auto"/>
        <w:rPr>
          <w:rFonts w:cs="Arial"/>
          <w:szCs w:val="22"/>
        </w:rPr>
      </w:pPr>
    </w:p>
    <w:p w:rsidR="00DB18CC" w:rsidRDefault="00DB18CC" w:rsidP="00DD5277">
      <w:pPr>
        <w:spacing w:after="240" w:line="276" w:lineRule="auto"/>
        <w:rPr>
          <w:rFonts w:cs="Arial"/>
          <w:szCs w:val="22"/>
        </w:rPr>
      </w:pPr>
    </w:p>
    <w:p w:rsidR="00031BF5" w:rsidRDefault="00031BF5" w:rsidP="00DD5277">
      <w:pPr>
        <w:spacing w:after="240" w:line="276" w:lineRule="auto"/>
        <w:rPr>
          <w:rFonts w:cs="Arial"/>
          <w:szCs w:val="22"/>
        </w:rPr>
      </w:pPr>
    </w:p>
    <w:p w:rsidR="00031BF5" w:rsidRPr="00055106" w:rsidRDefault="00031BF5" w:rsidP="00031BF5">
      <w:pPr>
        <w:spacing w:line="276" w:lineRule="auto"/>
        <w:rPr>
          <w:b/>
          <w:sz w:val="18"/>
          <w:szCs w:val="22"/>
        </w:rPr>
      </w:pPr>
      <w:r>
        <w:rPr>
          <w:b/>
          <w:sz w:val="18"/>
          <w:szCs w:val="22"/>
        </w:rPr>
        <w:lastRenderedPageBreak/>
        <w:t xml:space="preserve">Tabla 7. </w:t>
      </w:r>
      <w:r w:rsidRPr="00055106">
        <w:rPr>
          <w:b/>
          <w:sz w:val="18"/>
          <w:szCs w:val="22"/>
        </w:rPr>
        <w:t>F.2.1.2. Gastos</w:t>
      </w:r>
    </w:p>
    <w:p w:rsidR="00031BF5" w:rsidRDefault="00480684" w:rsidP="00031BF5">
      <w:pPr>
        <w:spacing w:line="276" w:lineRule="auto"/>
        <w:rPr>
          <w:szCs w:val="22"/>
        </w:rPr>
      </w:pPr>
      <w:r w:rsidRPr="00480684">
        <w:rPr>
          <w:noProof/>
        </w:rPr>
        <w:drawing>
          <wp:inline distT="0" distB="0" distL="0" distR="0">
            <wp:extent cx="5400040" cy="428371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4283710"/>
                    </a:xfrm>
                    <a:prstGeom prst="rect">
                      <a:avLst/>
                    </a:prstGeom>
                    <a:noFill/>
                    <a:ln>
                      <a:noFill/>
                    </a:ln>
                  </pic:spPr>
                </pic:pic>
              </a:graphicData>
            </a:graphic>
          </wp:inline>
        </w:drawing>
      </w:r>
    </w:p>
    <w:p w:rsidR="00031BF5" w:rsidRDefault="00031BF5" w:rsidP="00DD5277">
      <w:pPr>
        <w:spacing w:after="240" w:line="276" w:lineRule="auto"/>
        <w:rPr>
          <w:rFonts w:cs="Arial"/>
          <w:szCs w:val="22"/>
        </w:rPr>
      </w:pPr>
    </w:p>
    <w:p w:rsidR="00CF226F" w:rsidRPr="00031BF5" w:rsidRDefault="00CF226F" w:rsidP="00DD5277">
      <w:pPr>
        <w:spacing w:after="240" w:line="276" w:lineRule="auto"/>
        <w:rPr>
          <w:rFonts w:cs="Arial"/>
          <w:b/>
          <w:szCs w:val="22"/>
        </w:rPr>
      </w:pPr>
      <w:r w:rsidRPr="00031BF5">
        <w:rPr>
          <w:rFonts w:cs="Arial"/>
          <w:b/>
          <w:szCs w:val="22"/>
        </w:rPr>
        <w:t>6. Saldos consolidados</w:t>
      </w:r>
      <w:r w:rsidR="00031BF5" w:rsidRPr="00031BF5">
        <w:rPr>
          <w:rFonts w:cs="Arial"/>
          <w:b/>
          <w:szCs w:val="22"/>
        </w:rPr>
        <w:t xml:space="preserve"> y otras magnitudes</w:t>
      </w:r>
    </w:p>
    <w:p w:rsidR="00031BF5" w:rsidRDefault="00031BF5" w:rsidP="00031BF5">
      <w:pPr>
        <w:spacing w:after="240" w:line="276" w:lineRule="auto"/>
        <w:rPr>
          <w:szCs w:val="22"/>
        </w:rPr>
      </w:pPr>
      <w:r>
        <w:rPr>
          <w:szCs w:val="22"/>
        </w:rPr>
        <w:t xml:space="preserve">De los datos consolidados obtenidos de los formularios anteriores, se obtienen los saldos de las operaciones corrientes, de las operaciones de capital, de los empleos no financieros y de los empleos financieros. </w:t>
      </w:r>
    </w:p>
    <w:p w:rsidR="00E209D3" w:rsidRDefault="00E209D3" w:rsidP="00E209D3">
      <w:pPr>
        <w:spacing w:after="240" w:line="276" w:lineRule="auto"/>
        <w:rPr>
          <w:szCs w:val="22"/>
        </w:rPr>
      </w:pPr>
      <w:r>
        <w:rPr>
          <w:szCs w:val="22"/>
        </w:rPr>
        <w:t>Así mismo, se indica el saldo positivo o negativo de los ajustes para el cálculo de la capacidad o necesidad de financiación en términos del SEC 2010. Las proyecciones presentan capacidad de financiación durante todo el periodo considerado.</w:t>
      </w:r>
    </w:p>
    <w:p w:rsidR="00E209D3" w:rsidRDefault="00E209D3" w:rsidP="00E209D3">
      <w:pPr>
        <w:spacing w:after="240" w:line="276" w:lineRule="auto"/>
        <w:rPr>
          <w:szCs w:val="22"/>
        </w:rPr>
      </w:pPr>
      <w:r>
        <w:rPr>
          <w:szCs w:val="22"/>
        </w:rPr>
        <w:t>También se indica el saldo de la deuda viva estimada a 31 de diciembre de cada ejercicio, y el porcentaje que la misma representa sobre los ingresos corrientes.</w:t>
      </w:r>
    </w:p>
    <w:p w:rsidR="00E209D3" w:rsidRDefault="00E209D3" w:rsidP="003D4E7C">
      <w:pPr>
        <w:spacing w:line="276" w:lineRule="auto"/>
        <w:rPr>
          <w:szCs w:val="22"/>
        </w:rPr>
      </w:pPr>
      <w:r>
        <w:rPr>
          <w:szCs w:val="22"/>
        </w:rPr>
        <w:t>Los valores de las anteriores magnitudes, formulario F.2.1.3., figuran en la tabla 8.</w:t>
      </w:r>
    </w:p>
    <w:p w:rsidR="00DB5B17" w:rsidRDefault="00DB5B17">
      <w:pPr>
        <w:jc w:val="left"/>
        <w:rPr>
          <w:szCs w:val="22"/>
        </w:rPr>
      </w:pPr>
      <w:r>
        <w:rPr>
          <w:szCs w:val="22"/>
        </w:rPr>
        <w:br w:type="page"/>
      </w:r>
    </w:p>
    <w:p w:rsidR="00E209D3" w:rsidRPr="00055106" w:rsidRDefault="00E209D3" w:rsidP="00E209D3">
      <w:pPr>
        <w:spacing w:line="276" w:lineRule="auto"/>
        <w:rPr>
          <w:b/>
          <w:sz w:val="18"/>
          <w:szCs w:val="22"/>
        </w:rPr>
      </w:pPr>
      <w:r>
        <w:rPr>
          <w:b/>
          <w:sz w:val="18"/>
          <w:szCs w:val="22"/>
        </w:rPr>
        <w:lastRenderedPageBreak/>
        <w:t xml:space="preserve">Tabla 8. </w:t>
      </w:r>
      <w:r w:rsidRPr="00055106">
        <w:rPr>
          <w:b/>
          <w:sz w:val="18"/>
          <w:szCs w:val="22"/>
        </w:rPr>
        <w:t>F.2.1.3. Saldos, capacidad/necesidad de financiación, deuda viva</w:t>
      </w:r>
    </w:p>
    <w:p w:rsidR="00E209D3" w:rsidRDefault="00DB18CC" w:rsidP="00E209D3">
      <w:pPr>
        <w:spacing w:line="276" w:lineRule="auto"/>
        <w:rPr>
          <w:szCs w:val="22"/>
        </w:rPr>
      </w:pPr>
      <w:r w:rsidRPr="00DB18CC">
        <w:rPr>
          <w:noProof/>
        </w:rPr>
        <w:drawing>
          <wp:inline distT="0" distB="0" distL="0" distR="0">
            <wp:extent cx="5400040" cy="1557655"/>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557655"/>
                    </a:xfrm>
                    <a:prstGeom prst="rect">
                      <a:avLst/>
                    </a:prstGeom>
                    <a:noFill/>
                    <a:ln>
                      <a:noFill/>
                    </a:ln>
                  </pic:spPr>
                </pic:pic>
              </a:graphicData>
            </a:graphic>
          </wp:inline>
        </w:drawing>
      </w:r>
    </w:p>
    <w:p w:rsidR="00DB5B17" w:rsidRDefault="00DB5B17" w:rsidP="00C52DC0">
      <w:pPr>
        <w:spacing w:line="276" w:lineRule="auto"/>
        <w:rPr>
          <w:szCs w:val="22"/>
        </w:rPr>
      </w:pPr>
    </w:p>
    <w:p w:rsidR="007E208F" w:rsidRDefault="003D4E7C" w:rsidP="00055106">
      <w:pPr>
        <w:spacing w:after="240"/>
        <w:rPr>
          <w:szCs w:val="22"/>
        </w:rPr>
      </w:pPr>
      <w:r>
        <w:rPr>
          <w:szCs w:val="22"/>
        </w:rPr>
        <w:t>El Plan Presupuestario a M</w:t>
      </w:r>
      <w:r w:rsidR="007E208F" w:rsidRPr="00A242ED">
        <w:rPr>
          <w:szCs w:val="22"/>
        </w:rPr>
        <w:t xml:space="preserve">edio </w:t>
      </w:r>
      <w:r>
        <w:rPr>
          <w:szCs w:val="22"/>
        </w:rPr>
        <w:t>P</w:t>
      </w:r>
      <w:r w:rsidR="007E208F" w:rsidRPr="00A242ED">
        <w:rPr>
          <w:szCs w:val="22"/>
        </w:rPr>
        <w:t>lazo 20</w:t>
      </w:r>
      <w:r w:rsidR="00E26AD6">
        <w:rPr>
          <w:szCs w:val="22"/>
        </w:rPr>
        <w:t>22</w:t>
      </w:r>
      <w:r w:rsidR="00055106">
        <w:rPr>
          <w:szCs w:val="22"/>
        </w:rPr>
        <w:t>-202</w:t>
      </w:r>
      <w:r w:rsidR="00E26AD6">
        <w:rPr>
          <w:szCs w:val="22"/>
        </w:rPr>
        <w:t>4</w:t>
      </w:r>
      <w:r w:rsidR="007E208F" w:rsidRPr="00A242ED">
        <w:rPr>
          <w:szCs w:val="22"/>
        </w:rPr>
        <w:t xml:space="preserve"> </w:t>
      </w:r>
      <w:r w:rsidR="00602F49">
        <w:rPr>
          <w:szCs w:val="22"/>
        </w:rPr>
        <w:t>ha sido elaborado de acuerdo con los parámetros que establece el artículo 29.2 de la LOEPSF, y presenta una programación presupuestaria coherente con los objetivos de estabilidad presupuestaria y de deuda pública</w:t>
      </w:r>
      <w:r w:rsidR="00E26AD6">
        <w:rPr>
          <w:szCs w:val="22"/>
        </w:rPr>
        <w:t xml:space="preserve">. No se ha evaluado el </w:t>
      </w:r>
      <w:r w:rsidR="00055106">
        <w:rPr>
          <w:szCs w:val="22"/>
        </w:rPr>
        <w:t>cumplimiento de</w:t>
      </w:r>
      <w:r w:rsidR="00602F49">
        <w:rPr>
          <w:szCs w:val="22"/>
        </w:rPr>
        <w:t xml:space="preserve"> la regla de gasto</w:t>
      </w:r>
      <w:r w:rsidR="00E26AD6">
        <w:rPr>
          <w:szCs w:val="22"/>
        </w:rPr>
        <w:t xml:space="preserve"> de acuerdo con lo señalado en el punto 2.</w:t>
      </w:r>
    </w:p>
    <w:p w:rsidR="00362A61" w:rsidRDefault="00362A61" w:rsidP="00362A61">
      <w:pPr>
        <w:autoSpaceDE w:val="0"/>
        <w:autoSpaceDN w:val="0"/>
        <w:adjustRightInd w:val="0"/>
        <w:rPr>
          <w:rFonts w:cs="Arial"/>
          <w:szCs w:val="22"/>
        </w:rPr>
      </w:pPr>
      <w:r>
        <w:rPr>
          <w:rFonts w:cs="Arial"/>
          <w:szCs w:val="22"/>
        </w:rPr>
        <w:t xml:space="preserve">Y vista la propuesta favorable del jefe del servicio de Economía y Hacienda, que cuenta con el visto bueno del concejal delegado, de </w:t>
      </w:r>
      <w:r w:rsidR="0087479B">
        <w:rPr>
          <w:rFonts w:cs="Arial"/>
          <w:szCs w:val="22"/>
        </w:rPr>
        <w:t>26</w:t>
      </w:r>
      <w:r>
        <w:rPr>
          <w:rFonts w:cs="Arial"/>
          <w:szCs w:val="22"/>
        </w:rPr>
        <w:t xml:space="preserve"> de marzo de 2021.</w:t>
      </w:r>
    </w:p>
    <w:p w:rsidR="00362A61" w:rsidRDefault="00362A61" w:rsidP="00362A61">
      <w:pPr>
        <w:autoSpaceDE w:val="0"/>
        <w:autoSpaceDN w:val="0"/>
        <w:adjustRightInd w:val="0"/>
        <w:rPr>
          <w:b/>
          <w:szCs w:val="22"/>
        </w:rPr>
      </w:pPr>
    </w:p>
    <w:p w:rsidR="00362A61" w:rsidRPr="00362A61" w:rsidRDefault="00362A61" w:rsidP="00362A61">
      <w:pPr>
        <w:spacing w:after="240"/>
        <w:jc w:val="center"/>
        <w:rPr>
          <w:b/>
          <w:szCs w:val="22"/>
        </w:rPr>
      </w:pPr>
      <w:r w:rsidRPr="00362A61">
        <w:rPr>
          <w:b/>
          <w:szCs w:val="22"/>
        </w:rPr>
        <w:t>RESUELVO:</w:t>
      </w:r>
    </w:p>
    <w:p w:rsidR="00602F49" w:rsidRPr="00A242ED" w:rsidRDefault="00E933CD" w:rsidP="00055106">
      <w:pPr>
        <w:spacing w:after="240"/>
        <w:rPr>
          <w:szCs w:val="22"/>
        </w:rPr>
      </w:pPr>
      <w:r w:rsidRPr="00A242ED">
        <w:rPr>
          <w:i/>
          <w:szCs w:val="22"/>
        </w:rPr>
        <w:t>Primero</w:t>
      </w:r>
      <w:r w:rsidRPr="00A242ED">
        <w:rPr>
          <w:szCs w:val="22"/>
        </w:rPr>
        <w:t xml:space="preserve">. Aprobar el Plan </w:t>
      </w:r>
      <w:r w:rsidR="00362A61">
        <w:rPr>
          <w:szCs w:val="22"/>
        </w:rPr>
        <w:t>p</w:t>
      </w:r>
      <w:r w:rsidR="003D4E7C">
        <w:rPr>
          <w:szCs w:val="22"/>
        </w:rPr>
        <w:t xml:space="preserve">resupuestario a </w:t>
      </w:r>
      <w:r w:rsidR="0094499A">
        <w:rPr>
          <w:szCs w:val="22"/>
        </w:rPr>
        <w:t>m</w:t>
      </w:r>
      <w:r w:rsidR="003D4E7C">
        <w:rPr>
          <w:szCs w:val="22"/>
        </w:rPr>
        <w:t xml:space="preserve">edio </w:t>
      </w:r>
      <w:r w:rsidR="0094499A">
        <w:rPr>
          <w:szCs w:val="22"/>
        </w:rPr>
        <w:t>p</w:t>
      </w:r>
      <w:r w:rsidRPr="00A242ED">
        <w:rPr>
          <w:szCs w:val="22"/>
        </w:rPr>
        <w:t>lazo 20</w:t>
      </w:r>
      <w:r w:rsidR="00EE5422">
        <w:rPr>
          <w:szCs w:val="22"/>
        </w:rPr>
        <w:t>2</w:t>
      </w:r>
      <w:r w:rsidR="00E6214C">
        <w:rPr>
          <w:szCs w:val="22"/>
        </w:rPr>
        <w:t>2</w:t>
      </w:r>
      <w:r w:rsidR="000856C4">
        <w:rPr>
          <w:szCs w:val="22"/>
        </w:rPr>
        <w:t>-202</w:t>
      </w:r>
      <w:r w:rsidR="00E6214C">
        <w:rPr>
          <w:szCs w:val="22"/>
        </w:rPr>
        <w:t>3</w:t>
      </w:r>
      <w:r w:rsidR="00602F49">
        <w:rPr>
          <w:szCs w:val="22"/>
        </w:rPr>
        <w:t>.</w:t>
      </w:r>
    </w:p>
    <w:p w:rsidR="00E933CD" w:rsidRPr="00A242ED" w:rsidRDefault="00E933CD" w:rsidP="00055106">
      <w:pPr>
        <w:spacing w:after="240"/>
        <w:rPr>
          <w:szCs w:val="22"/>
        </w:rPr>
      </w:pPr>
      <w:r w:rsidRPr="00A242ED">
        <w:rPr>
          <w:i/>
          <w:szCs w:val="22"/>
        </w:rPr>
        <w:t>Segundo</w:t>
      </w:r>
      <w:r w:rsidRPr="00A242ED">
        <w:rPr>
          <w:szCs w:val="22"/>
        </w:rPr>
        <w:t>. Dar cuenta del mismo al Pleno municipal.</w:t>
      </w:r>
    </w:p>
    <w:p w:rsidR="00E933CD" w:rsidRDefault="00E933CD" w:rsidP="00055106">
      <w:pPr>
        <w:spacing w:after="240"/>
        <w:rPr>
          <w:szCs w:val="22"/>
        </w:rPr>
      </w:pPr>
      <w:r w:rsidRPr="00A242ED">
        <w:rPr>
          <w:i/>
          <w:szCs w:val="22"/>
        </w:rPr>
        <w:t>Tercero</w:t>
      </w:r>
      <w:r w:rsidRPr="00A242ED">
        <w:rPr>
          <w:szCs w:val="22"/>
        </w:rPr>
        <w:t xml:space="preserve">. Remitir el mismo al Ministerio de Hacienda y Administraciones Públicas </w:t>
      </w:r>
      <w:r w:rsidR="000856C4">
        <w:rPr>
          <w:szCs w:val="22"/>
        </w:rPr>
        <w:t>a través de</w:t>
      </w:r>
      <w:r w:rsidRPr="00A242ED">
        <w:rPr>
          <w:szCs w:val="22"/>
        </w:rPr>
        <w:t xml:space="preserve"> la plataforma informática habilitada en su página web</w:t>
      </w:r>
      <w:r w:rsidR="003D4E7C">
        <w:rPr>
          <w:szCs w:val="22"/>
        </w:rPr>
        <w:t>.</w:t>
      </w:r>
    </w:p>
    <w:p w:rsidR="00854995" w:rsidRPr="00A242ED" w:rsidRDefault="00854995" w:rsidP="00055106">
      <w:pPr>
        <w:spacing w:after="240"/>
        <w:rPr>
          <w:rFonts w:cs="Arial"/>
          <w:szCs w:val="22"/>
        </w:rPr>
      </w:pPr>
      <w:r>
        <w:rPr>
          <w:szCs w:val="22"/>
        </w:rPr>
        <w:t>Lo decreta, manda y firma el alcalde, Diego Gómez i Garcia.</w:t>
      </w:r>
    </w:p>
    <w:p w:rsidR="0094499A" w:rsidRDefault="00362A61" w:rsidP="00362A61">
      <w:pPr>
        <w:autoSpaceDE w:val="0"/>
        <w:autoSpaceDN w:val="0"/>
        <w:adjustRightInd w:val="0"/>
        <w:ind w:left="5664" w:firstLine="708"/>
        <w:rPr>
          <w:rFonts w:cs="Arial"/>
          <w:szCs w:val="22"/>
        </w:rPr>
      </w:pPr>
      <w:r>
        <w:rPr>
          <w:rFonts w:cs="Arial"/>
          <w:szCs w:val="22"/>
        </w:rPr>
        <w:t>Revisado y conforme,</w:t>
      </w:r>
    </w:p>
    <w:p w:rsidR="00362A61" w:rsidRDefault="00362A61" w:rsidP="00362A61">
      <w:pPr>
        <w:autoSpaceDE w:val="0"/>
        <w:autoSpaceDN w:val="0"/>
        <w:adjustRightInd w:val="0"/>
        <w:ind w:left="5664" w:firstLine="708"/>
        <w:rPr>
          <w:rFonts w:cs="Arial"/>
          <w:szCs w:val="22"/>
        </w:rPr>
      </w:pPr>
      <w:r>
        <w:rPr>
          <w:rFonts w:cs="Arial"/>
          <w:szCs w:val="22"/>
        </w:rPr>
        <w:t xml:space="preserve">El interventor </w:t>
      </w:r>
      <w:proofErr w:type="spellStart"/>
      <w:r>
        <w:rPr>
          <w:rFonts w:cs="Arial"/>
          <w:szCs w:val="22"/>
        </w:rPr>
        <w:t>acctal</w:t>
      </w:r>
      <w:proofErr w:type="spellEnd"/>
      <w:r>
        <w:rPr>
          <w:rFonts w:cs="Arial"/>
          <w:szCs w:val="22"/>
        </w:rPr>
        <w:t>.</w:t>
      </w:r>
    </w:p>
    <w:p w:rsidR="00177760" w:rsidRDefault="00177760" w:rsidP="00E933CD">
      <w:pPr>
        <w:autoSpaceDE w:val="0"/>
        <w:autoSpaceDN w:val="0"/>
        <w:adjustRightInd w:val="0"/>
        <w:rPr>
          <w:rFonts w:cs="Arial"/>
          <w:szCs w:val="22"/>
        </w:rPr>
      </w:pPr>
    </w:p>
    <w:p w:rsidR="00305658" w:rsidRDefault="00305658" w:rsidP="00E933CD">
      <w:pPr>
        <w:autoSpaceDE w:val="0"/>
        <w:autoSpaceDN w:val="0"/>
        <w:adjustRightInd w:val="0"/>
        <w:rPr>
          <w:rFonts w:cs="Arial"/>
          <w:szCs w:val="22"/>
        </w:rPr>
      </w:pPr>
    </w:p>
    <w:p w:rsidR="00602F49" w:rsidRDefault="00602F49" w:rsidP="00E933CD">
      <w:pPr>
        <w:autoSpaceDE w:val="0"/>
        <w:autoSpaceDN w:val="0"/>
        <w:adjustRightInd w:val="0"/>
        <w:rPr>
          <w:rFonts w:cs="Arial"/>
          <w:szCs w:val="22"/>
        </w:rPr>
      </w:pPr>
    </w:p>
    <w:p w:rsidR="00177760" w:rsidRDefault="00177760" w:rsidP="00E933CD">
      <w:pPr>
        <w:autoSpaceDE w:val="0"/>
        <w:autoSpaceDN w:val="0"/>
        <w:adjustRightInd w:val="0"/>
        <w:rPr>
          <w:rFonts w:cs="Arial"/>
          <w:szCs w:val="22"/>
        </w:rPr>
      </w:pPr>
    </w:p>
    <w:p w:rsidR="00362A61" w:rsidRDefault="00362A61" w:rsidP="00362A61">
      <w:pPr>
        <w:autoSpaceDE w:val="0"/>
        <w:autoSpaceDN w:val="0"/>
        <w:adjustRightInd w:val="0"/>
        <w:rPr>
          <w:rFonts w:cs="Arial"/>
          <w:szCs w:val="22"/>
        </w:rPr>
      </w:pPr>
    </w:p>
    <w:p w:rsidR="00362A61" w:rsidRDefault="00362A61" w:rsidP="00362A61">
      <w:pPr>
        <w:autoSpaceDE w:val="0"/>
        <w:autoSpaceDN w:val="0"/>
        <w:adjustRightInd w:val="0"/>
        <w:rPr>
          <w:rFonts w:cs="Arial"/>
          <w:szCs w:val="22"/>
        </w:rPr>
      </w:pPr>
      <w:proofErr w:type="spellStart"/>
      <w:r w:rsidRPr="00A242ED">
        <w:rPr>
          <w:rFonts w:cs="Arial"/>
          <w:szCs w:val="22"/>
        </w:rPr>
        <w:t>Alzira</w:t>
      </w:r>
      <w:proofErr w:type="spellEnd"/>
      <w:r w:rsidRPr="00A242ED">
        <w:rPr>
          <w:rFonts w:cs="Arial"/>
          <w:szCs w:val="22"/>
        </w:rPr>
        <w:t xml:space="preserve">, </w:t>
      </w:r>
      <w:r>
        <w:rPr>
          <w:rFonts w:cs="Arial"/>
          <w:szCs w:val="22"/>
        </w:rPr>
        <w:t>26</w:t>
      </w:r>
      <w:r w:rsidRPr="00A242ED">
        <w:rPr>
          <w:rFonts w:cs="Arial"/>
          <w:szCs w:val="22"/>
        </w:rPr>
        <w:t xml:space="preserve"> de marzo de 20</w:t>
      </w:r>
      <w:r>
        <w:rPr>
          <w:rFonts w:cs="Arial"/>
          <w:szCs w:val="22"/>
        </w:rPr>
        <w:t>21</w:t>
      </w:r>
    </w:p>
    <w:p w:rsidR="00177760" w:rsidRDefault="00177760" w:rsidP="00E933CD">
      <w:pPr>
        <w:autoSpaceDE w:val="0"/>
        <w:autoSpaceDN w:val="0"/>
        <w:adjustRightInd w:val="0"/>
        <w:rPr>
          <w:rFonts w:cs="Arial"/>
          <w:szCs w:val="22"/>
        </w:rPr>
      </w:pPr>
    </w:p>
    <w:p w:rsidR="00177760" w:rsidRDefault="00177760" w:rsidP="00E933CD">
      <w:pPr>
        <w:autoSpaceDE w:val="0"/>
        <w:autoSpaceDN w:val="0"/>
        <w:adjustRightInd w:val="0"/>
        <w:rPr>
          <w:rFonts w:cs="Arial"/>
          <w:szCs w:val="22"/>
        </w:rPr>
      </w:pPr>
    </w:p>
    <w:sectPr w:rsidR="00177760" w:rsidSect="00B10702">
      <w:headerReference w:type="even" r:id="rId12"/>
      <w:headerReference w:type="default" r:id="rId13"/>
      <w:footerReference w:type="default" r:id="rId14"/>
      <w:pgSz w:w="11906" w:h="16838" w:code="9"/>
      <w:pgMar w:top="2835"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25F" w:rsidRDefault="0067225F">
      <w:r>
        <w:separator/>
      </w:r>
    </w:p>
  </w:endnote>
  <w:endnote w:type="continuationSeparator" w:id="0">
    <w:p w:rsidR="0067225F" w:rsidRDefault="006722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7E" w:rsidRPr="009D17F6" w:rsidRDefault="0084027E" w:rsidP="00B933E1">
    <w:pPr>
      <w:pStyle w:val="Piedepgina"/>
      <w:rPr>
        <w:sz w:val="18"/>
        <w:szCs w:val="18"/>
        <w:lang w:val="en-GB"/>
      </w:rPr>
    </w:pPr>
    <w:r>
      <w:rPr>
        <w:noProof/>
      </w:rPr>
      <w:drawing>
        <wp:anchor distT="0" distB="0" distL="114300" distR="114300" simplePos="0" relativeHeight="251658752" behindDoc="0" locked="0" layoutInCell="1" allowOverlap="1">
          <wp:simplePos x="0" y="0"/>
          <wp:positionH relativeFrom="column">
            <wp:posOffset>4953000</wp:posOffset>
          </wp:positionH>
          <wp:positionV relativeFrom="paragraph">
            <wp:posOffset>-75565</wp:posOffset>
          </wp:positionV>
          <wp:extent cx="304800" cy="304800"/>
          <wp:effectExtent l="19050" t="0" r="0" b="0"/>
          <wp:wrapSquare wrapText="bothSides"/>
          <wp:docPr id="3" name="Imagen 3" descr="fb_icon_325x3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_icon_325x325">
                    <a:hlinkClick r:id="rId1"/>
                  </pic:cNvPr>
                  <pic:cNvPicPr>
                    <a:picLocks noChangeAspect="1" noChangeArrowheads="1"/>
                  </pic:cNvPicPr>
                </pic:nvPicPr>
                <pic:blipFill>
                  <a:blip r:embed="rId2"/>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-75565</wp:posOffset>
          </wp:positionV>
          <wp:extent cx="304800" cy="304800"/>
          <wp:effectExtent l="19050" t="0" r="0" b="0"/>
          <wp:wrapSquare wrapText="bothSides"/>
          <wp:docPr id="2" name="Imagen 2" descr="twitter-bi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big">
                    <a:hlinkClick r:id="rId3"/>
                  </pic:cNvPr>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sz w:val="18"/>
        <w:szCs w:val="18"/>
        <w:lang w:val="en-GB"/>
      </w:rPr>
      <w:t>hisenda</w:t>
    </w:r>
    <w:r w:rsidRPr="009D17F6">
      <w:rPr>
        <w:sz w:val="18"/>
        <w:szCs w:val="18"/>
        <w:lang w:val="en-GB"/>
      </w:rPr>
      <w:t>@alzira.es · Tel. 96 240 04 50 · C/ Sant Roc</w:t>
    </w:r>
    <w:proofErr w:type="gramStart"/>
    <w:r w:rsidRPr="009D17F6">
      <w:rPr>
        <w:sz w:val="18"/>
        <w:szCs w:val="18"/>
        <w:lang w:val="en-GB"/>
      </w:rPr>
      <w:t>,  6</w:t>
    </w:r>
    <w:proofErr w:type="gramEnd"/>
    <w:r w:rsidRPr="009D17F6">
      <w:rPr>
        <w:sz w:val="18"/>
        <w:szCs w:val="18"/>
        <w:lang w:val="en-GB"/>
      </w:rPr>
      <w:t xml:space="preserve"> </w:t>
    </w:r>
    <w:r w:rsidRPr="009D17F6">
      <w:rPr>
        <w:rFonts w:cs="Arial"/>
        <w:sz w:val="18"/>
        <w:szCs w:val="18"/>
        <w:lang w:val="en-GB"/>
      </w:rPr>
      <w:t>·</w:t>
    </w:r>
    <w:r w:rsidRPr="009D17F6">
      <w:rPr>
        <w:sz w:val="18"/>
        <w:szCs w:val="18"/>
        <w:lang w:val="en-GB"/>
      </w:rPr>
      <w:t xml:space="preserve"> 46600 Alzira </w:t>
    </w:r>
    <w:r w:rsidRPr="009D17F6">
      <w:rPr>
        <w:rFonts w:cs="Arial"/>
        <w:sz w:val="18"/>
        <w:szCs w:val="18"/>
        <w:lang w:val="en-GB"/>
      </w:rPr>
      <w:t>·</w:t>
    </w:r>
    <w:r w:rsidRPr="009D17F6">
      <w:rPr>
        <w:sz w:val="18"/>
        <w:szCs w:val="18"/>
        <w:lang w:val="en-GB"/>
      </w:rPr>
      <w:t xml:space="preserve">  www.alzira.es</w:t>
    </w:r>
    <w:r w:rsidRPr="009D17F6">
      <w:rPr>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25F" w:rsidRDefault="0067225F">
      <w:r>
        <w:separator/>
      </w:r>
    </w:p>
  </w:footnote>
  <w:footnote w:type="continuationSeparator" w:id="0">
    <w:p w:rsidR="0067225F" w:rsidRDefault="0067225F">
      <w:r>
        <w:continuationSeparator/>
      </w:r>
    </w:p>
  </w:footnote>
  <w:footnote w:id="1">
    <w:p w:rsidR="00624E0A" w:rsidRDefault="003242B2">
      <w:pPr>
        <w:pStyle w:val="Textonotapie"/>
      </w:pPr>
      <w:r>
        <w:rPr>
          <w:rStyle w:val="Refdenotaalpie"/>
        </w:rPr>
        <w:footnoteRef/>
      </w:r>
      <w:r w:rsidR="00624E0A">
        <w:t xml:space="preserve"> </w:t>
      </w:r>
      <w:r>
        <w:t xml:space="preserve"> </w:t>
      </w:r>
      <w:hyperlink r:id="rId1" w:history="1">
        <w:r w:rsidR="00080A69">
          <w:rPr>
            <w:rStyle w:val="Hipervnculo"/>
          </w:rPr>
          <w:t>Proyecciones macroeconómicas de la economía española (2020-2023): contribución del Banco de España al ejercicio conjunto de proyecciones del Eurosistema de diciembre de 2020. (bde.es)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7E" w:rsidRDefault="0084027E">
    <w:pPr>
      <w:pStyle w:val="Encabezado"/>
    </w:pPr>
  </w:p>
  <w:p w:rsidR="0084027E" w:rsidRDefault="0084027E">
    <w:pPr>
      <w:pStyle w:val="Encabezado"/>
    </w:pPr>
  </w:p>
  <w:p w:rsidR="0084027E" w:rsidRDefault="0084027E">
    <w:pPr>
      <w:pStyle w:val="Encabezado"/>
    </w:pPr>
  </w:p>
  <w:p w:rsidR="0084027E" w:rsidRDefault="0084027E" w:rsidP="006A0C95">
    <w:pPr>
      <w:pStyle w:val="Encabezado"/>
      <w:jc w:val="right"/>
    </w:pPr>
    <w:r w:rsidRPr="00A57003">
      <w:rPr>
        <w:noProof/>
        <w:sz w:val="18"/>
        <w:szCs w:val="18"/>
      </w:rPr>
      <w:t xml:space="preserve">pàg. </w:t>
    </w:r>
    <w:r w:rsidR="002A6564" w:rsidRPr="00A57003">
      <w:rPr>
        <w:rStyle w:val="Nmerodepgina"/>
        <w:sz w:val="18"/>
        <w:szCs w:val="18"/>
      </w:rPr>
      <w:fldChar w:fldCharType="begin"/>
    </w:r>
    <w:r w:rsidRPr="00A57003">
      <w:rPr>
        <w:rStyle w:val="Nmerodepgina"/>
        <w:sz w:val="18"/>
        <w:szCs w:val="18"/>
      </w:rPr>
      <w:instrText xml:space="preserve"> PAGE </w:instrText>
    </w:r>
    <w:r w:rsidR="002A6564" w:rsidRPr="00A57003">
      <w:rPr>
        <w:rStyle w:val="Nmerodepgina"/>
        <w:sz w:val="18"/>
        <w:szCs w:val="18"/>
      </w:rPr>
      <w:fldChar w:fldCharType="separate"/>
    </w:r>
    <w:r w:rsidR="00871EAD">
      <w:rPr>
        <w:rStyle w:val="Nmerodepgina"/>
        <w:noProof/>
        <w:sz w:val="18"/>
        <w:szCs w:val="18"/>
      </w:rPr>
      <w:t>10</w:t>
    </w:r>
    <w:r w:rsidR="002A6564" w:rsidRPr="00A57003">
      <w:rPr>
        <w:rStyle w:val="Nmerodepgin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7E" w:rsidRDefault="0084027E" w:rsidP="00517D25">
    <w:pPr>
      <w:pStyle w:val="Encabezado"/>
    </w:pPr>
    <w:r>
      <w:rPr>
        <w:noProof/>
      </w:rPr>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2188845" cy="720090"/>
          <wp:effectExtent l="19050" t="0" r="1905" b="0"/>
          <wp:wrapSquare wrapText="bothSides"/>
          <wp:docPr id="1" name="Imagen 1" descr="escudo_alzira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alzira2_color"/>
                  <pic:cNvPicPr>
                    <a:picLocks noChangeAspect="1" noChangeArrowheads="1"/>
                  </pic:cNvPicPr>
                </pic:nvPicPr>
                <pic:blipFill>
                  <a:blip r:embed="rId1"/>
                  <a:srcRect/>
                  <a:stretch>
                    <a:fillRect/>
                  </a:stretch>
                </pic:blipFill>
                <pic:spPr bwMode="auto">
                  <a:xfrm>
                    <a:off x="0" y="0"/>
                    <a:ext cx="2188845" cy="720090"/>
                  </a:xfrm>
                  <a:prstGeom prst="rect">
                    <a:avLst/>
                  </a:prstGeom>
                  <a:noFill/>
                  <a:ln w="9525">
                    <a:noFill/>
                    <a:miter lim="800000"/>
                    <a:headEnd/>
                    <a:tailEnd/>
                  </a:ln>
                </pic:spPr>
              </pic:pic>
            </a:graphicData>
          </a:graphic>
        </wp:anchor>
      </w:drawing>
    </w:r>
  </w:p>
  <w:p w:rsidR="0084027E" w:rsidRDefault="0084027E" w:rsidP="006115BB">
    <w:pPr>
      <w:pStyle w:val="Encabezado"/>
      <w:jc w:val="right"/>
    </w:pPr>
  </w:p>
  <w:p w:rsidR="0084027E" w:rsidRDefault="0084027E" w:rsidP="006115BB">
    <w:pPr>
      <w:pStyle w:val="Encabezado"/>
      <w:jc w:val="right"/>
    </w:pPr>
  </w:p>
  <w:p w:rsidR="0084027E" w:rsidRDefault="002A6564" w:rsidP="006115BB">
    <w:pPr>
      <w:pStyle w:val="Encabezado"/>
      <w:jc w:val="right"/>
    </w:pPr>
    <w:r w:rsidRPr="00A57003">
      <w:rPr>
        <w:rStyle w:val="Nmerodepgina"/>
        <w:sz w:val="18"/>
        <w:szCs w:val="18"/>
      </w:rPr>
      <w:fldChar w:fldCharType="begin"/>
    </w:r>
    <w:r w:rsidR="0084027E" w:rsidRPr="00A57003">
      <w:rPr>
        <w:rStyle w:val="Nmerodepgina"/>
        <w:sz w:val="18"/>
        <w:szCs w:val="18"/>
      </w:rPr>
      <w:instrText xml:space="preserve"> PAGE </w:instrText>
    </w:r>
    <w:r w:rsidRPr="00A57003">
      <w:rPr>
        <w:rStyle w:val="Nmerodepgina"/>
        <w:sz w:val="18"/>
        <w:szCs w:val="18"/>
      </w:rPr>
      <w:fldChar w:fldCharType="separate"/>
    </w:r>
    <w:r w:rsidR="00871EAD">
      <w:rPr>
        <w:rStyle w:val="Nmerodepgina"/>
        <w:noProof/>
        <w:sz w:val="18"/>
        <w:szCs w:val="18"/>
      </w:rPr>
      <w:t>11</w:t>
    </w:r>
    <w:r w:rsidRPr="00A57003">
      <w:rPr>
        <w:rStyle w:val="Nmerodepgin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A3F"/>
    <w:multiLevelType w:val="hybridMultilevel"/>
    <w:tmpl w:val="B7EED2B8"/>
    <w:lvl w:ilvl="0" w:tplc="7E4807E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4B334A"/>
    <w:multiLevelType w:val="hybridMultilevel"/>
    <w:tmpl w:val="0D943C8A"/>
    <w:lvl w:ilvl="0" w:tplc="548C02B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ACA1740"/>
    <w:multiLevelType w:val="hybridMultilevel"/>
    <w:tmpl w:val="215AC944"/>
    <w:lvl w:ilvl="0" w:tplc="9C0E3ED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proofState w:spelling="clean" w:grammar="clean"/>
  <w:attachedTemplate r:id="rId1"/>
  <w:stylePaneFormatFilter w:val="3F01"/>
  <w:defaultTabStop w:val="708"/>
  <w:hyphenationZone w:val="425"/>
  <w:evenAndOddHeaders/>
  <w:drawingGridHorizontalSpacing w:val="120"/>
  <w:displayHorizontalDrawingGridEvery w:val="2"/>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rsids>
    <w:rsidRoot w:val="00325F41"/>
    <w:rsid w:val="000000AD"/>
    <w:rsid w:val="000008A9"/>
    <w:rsid w:val="00000E38"/>
    <w:rsid w:val="000054CB"/>
    <w:rsid w:val="00005F6B"/>
    <w:rsid w:val="00006218"/>
    <w:rsid w:val="00006631"/>
    <w:rsid w:val="00012E96"/>
    <w:rsid w:val="00013F23"/>
    <w:rsid w:val="000157F5"/>
    <w:rsid w:val="00017C54"/>
    <w:rsid w:val="00020588"/>
    <w:rsid w:val="000214D2"/>
    <w:rsid w:val="0002195B"/>
    <w:rsid w:val="0002223C"/>
    <w:rsid w:val="00022BE3"/>
    <w:rsid w:val="00024460"/>
    <w:rsid w:val="00025167"/>
    <w:rsid w:val="00030833"/>
    <w:rsid w:val="00031BF5"/>
    <w:rsid w:val="00034E29"/>
    <w:rsid w:val="0003522F"/>
    <w:rsid w:val="00037304"/>
    <w:rsid w:val="00037815"/>
    <w:rsid w:val="000455BD"/>
    <w:rsid w:val="00046733"/>
    <w:rsid w:val="00046739"/>
    <w:rsid w:val="0005097D"/>
    <w:rsid w:val="00051EF8"/>
    <w:rsid w:val="0005272E"/>
    <w:rsid w:val="00054DEB"/>
    <w:rsid w:val="00055106"/>
    <w:rsid w:val="000564E0"/>
    <w:rsid w:val="0005768B"/>
    <w:rsid w:val="00064DB9"/>
    <w:rsid w:val="000655BD"/>
    <w:rsid w:val="00066342"/>
    <w:rsid w:val="00066CD6"/>
    <w:rsid w:val="000674AA"/>
    <w:rsid w:val="00070275"/>
    <w:rsid w:val="000708E7"/>
    <w:rsid w:val="0007162F"/>
    <w:rsid w:val="000756A8"/>
    <w:rsid w:val="00075911"/>
    <w:rsid w:val="00076A0E"/>
    <w:rsid w:val="000771AF"/>
    <w:rsid w:val="00077CCC"/>
    <w:rsid w:val="00080A69"/>
    <w:rsid w:val="00083A00"/>
    <w:rsid w:val="000856C4"/>
    <w:rsid w:val="00090006"/>
    <w:rsid w:val="00090D4F"/>
    <w:rsid w:val="0009379C"/>
    <w:rsid w:val="00093B76"/>
    <w:rsid w:val="00094C84"/>
    <w:rsid w:val="000952FC"/>
    <w:rsid w:val="000962ED"/>
    <w:rsid w:val="00096F99"/>
    <w:rsid w:val="000A1B1D"/>
    <w:rsid w:val="000A216A"/>
    <w:rsid w:val="000A3271"/>
    <w:rsid w:val="000A516F"/>
    <w:rsid w:val="000A58AB"/>
    <w:rsid w:val="000B1302"/>
    <w:rsid w:val="000B1456"/>
    <w:rsid w:val="000B1CA0"/>
    <w:rsid w:val="000B6731"/>
    <w:rsid w:val="000C0BAE"/>
    <w:rsid w:val="000C0EC9"/>
    <w:rsid w:val="000C1BE0"/>
    <w:rsid w:val="000C27CB"/>
    <w:rsid w:val="000C3835"/>
    <w:rsid w:val="000C40FC"/>
    <w:rsid w:val="000C423F"/>
    <w:rsid w:val="000D10E9"/>
    <w:rsid w:val="000D1C84"/>
    <w:rsid w:val="000D2B74"/>
    <w:rsid w:val="000D410F"/>
    <w:rsid w:val="000D45CD"/>
    <w:rsid w:val="000D47B1"/>
    <w:rsid w:val="000D5267"/>
    <w:rsid w:val="000D5746"/>
    <w:rsid w:val="000D6165"/>
    <w:rsid w:val="000E06FC"/>
    <w:rsid w:val="000E2407"/>
    <w:rsid w:val="000E3871"/>
    <w:rsid w:val="000E47CC"/>
    <w:rsid w:val="000E554A"/>
    <w:rsid w:val="000E57EE"/>
    <w:rsid w:val="000E629B"/>
    <w:rsid w:val="000E6727"/>
    <w:rsid w:val="000E6F75"/>
    <w:rsid w:val="000F3FA2"/>
    <w:rsid w:val="000F4CB7"/>
    <w:rsid w:val="000F4F1E"/>
    <w:rsid w:val="000F6BE3"/>
    <w:rsid w:val="00102BF7"/>
    <w:rsid w:val="00103299"/>
    <w:rsid w:val="001043EE"/>
    <w:rsid w:val="00107455"/>
    <w:rsid w:val="00107C04"/>
    <w:rsid w:val="00110940"/>
    <w:rsid w:val="001119CF"/>
    <w:rsid w:val="00112F73"/>
    <w:rsid w:val="00113A1E"/>
    <w:rsid w:val="00120FE2"/>
    <w:rsid w:val="00121AAA"/>
    <w:rsid w:val="00122668"/>
    <w:rsid w:val="00123DC2"/>
    <w:rsid w:val="00123E7E"/>
    <w:rsid w:val="0012612C"/>
    <w:rsid w:val="001266DC"/>
    <w:rsid w:val="00127F30"/>
    <w:rsid w:val="00130199"/>
    <w:rsid w:val="00130DE9"/>
    <w:rsid w:val="001319CE"/>
    <w:rsid w:val="00133F28"/>
    <w:rsid w:val="00134C70"/>
    <w:rsid w:val="00135962"/>
    <w:rsid w:val="00136AD5"/>
    <w:rsid w:val="00136FE8"/>
    <w:rsid w:val="00137503"/>
    <w:rsid w:val="001424BC"/>
    <w:rsid w:val="00143F76"/>
    <w:rsid w:val="001443BA"/>
    <w:rsid w:val="00146697"/>
    <w:rsid w:val="001501FE"/>
    <w:rsid w:val="00150C96"/>
    <w:rsid w:val="00152457"/>
    <w:rsid w:val="00156BBF"/>
    <w:rsid w:val="00160F24"/>
    <w:rsid w:val="00161AAC"/>
    <w:rsid w:val="001634BD"/>
    <w:rsid w:val="00166C02"/>
    <w:rsid w:val="00166C74"/>
    <w:rsid w:val="00167FD9"/>
    <w:rsid w:val="00170613"/>
    <w:rsid w:val="0017081A"/>
    <w:rsid w:val="00171EBA"/>
    <w:rsid w:val="00172655"/>
    <w:rsid w:val="0017388E"/>
    <w:rsid w:val="001743ED"/>
    <w:rsid w:val="00174465"/>
    <w:rsid w:val="00174568"/>
    <w:rsid w:val="001758B7"/>
    <w:rsid w:val="00175942"/>
    <w:rsid w:val="00176A97"/>
    <w:rsid w:val="00176AD5"/>
    <w:rsid w:val="00176C08"/>
    <w:rsid w:val="00177760"/>
    <w:rsid w:val="00180104"/>
    <w:rsid w:val="001811CD"/>
    <w:rsid w:val="00182855"/>
    <w:rsid w:val="001851A0"/>
    <w:rsid w:val="00185DCF"/>
    <w:rsid w:val="00186404"/>
    <w:rsid w:val="001868E1"/>
    <w:rsid w:val="00194371"/>
    <w:rsid w:val="00194DDD"/>
    <w:rsid w:val="00194EB8"/>
    <w:rsid w:val="00195264"/>
    <w:rsid w:val="0019621C"/>
    <w:rsid w:val="001A0058"/>
    <w:rsid w:val="001A0F35"/>
    <w:rsid w:val="001A2213"/>
    <w:rsid w:val="001A31E1"/>
    <w:rsid w:val="001A4150"/>
    <w:rsid w:val="001A6BFE"/>
    <w:rsid w:val="001B1CAD"/>
    <w:rsid w:val="001B2CC5"/>
    <w:rsid w:val="001B39AE"/>
    <w:rsid w:val="001B41C8"/>
    <w:rsid w:val="001B5300"/>
    <w:rsid w:val="001B55C8"/>
    <w:rsid w:val="001B7FD5"/>
    <w:rsid w:val="001C0F7F"/>
    <w:rsid w:val="001C1363"/>
    <w:rsid w:val="001C2F20"/>
    <w:rsid w:val="001C41AE"/>
    <w:rsid w:val="001C4B97"/>
    <w:rsid w:val="001C774B"/>
    <w:rsid w:val="001D24D2"/>
    <w:rsid w:val="001D255B"/>
    <w:rsid w:val="001D3405"/>
    <w:rsid w:val="001D4FA2"/>
    <w:rsid w:val="001D565C"/>
    <w:rsid w:val="001E010F"/>
    <w:rsid w:val="001E47A5"/>
    <w:rsid w:val="001E47E1"/>
    <w:rsid w:val="001E5E37"/>
    <w:rsid w:val="001E789B"/>
    <w:rsid w:val="001E7AED"/>
    <w:rsid w:val="001F309C"/>
    <w:rsid w:val="001F3D9B"/>
    <w:rsid w:val="001F6014"/>
    <w:rsid w:val="001F6B35"/>
    <w:rsid w:val="002018C7"/>
    <w:rsid w:val="002023C7"/>
    <w:rsid w:val="00203D25"/>
    <w:rsid w:val="00204AD0"/>
    <w:rsid w:val="002056A6"/>
    <w:rsid w:val="00205711"/>
    <w:rsid w:val="002069DB"/>
    <w:rsid w:val="002077B0"/>
    <w:rsid w:val="0021001B"/>
    <w:rsid w:val="00211EAF"/>
    <w:rsid w:val="0021517C"/>
    <w:rsid w:val="002161D4"/>
    <w:rsid w:val="00216BE0"/>
    <w:rsid w:val="00221D68"/>
    <w:rsid w:val="00224B06"/>
    <w:rsid w:val="0022626F"/>
    <w:rsid w:val="002273B4"/>
    <w:rsid w:val="00227FB4"/>
    <w:rsid w:val="0023064C"/>
    <w:rsid w:val="00231B6E"/>
    <w:rsid w:val="002342A2"/>
    <w:rsid w:val="00235931"/>
    <w:rsid w:val="00237D64"/>
    <w:rsid w:val="00237E18"/>
    <w:rsid w:val="00240878"/>
    <w:rsid w:val="00241168"/>
    <w:rsid w:val="00241C31"/>
    <w:rsid w:val="002422F4"/>
    <w:rsid w:val="00242679"/>
    <w:rsid w:val="00243CB1"/>
    <w:rsid w:val="002470D4"/>
    <w:rsid w:val="00247DBE"/>
    <w:rsid w:val="00254366"/>
    <w:rsid w:val="00254458"/>
    <w:rsid w:val="00254CC6"/>
    <w:rsid w:val="00255A62"/>
    <w:rsid w:val="002576A9"/>
    <w:rsid w:val="00260C6E"/>
    <w:rsid w:val="002635A9"/>
    <w:rsid w:val="00264E68"/>
    <w:rsid w:val="00267792"/>
    <w:rsid w:val="00270827"/>
    <w:rsid w:val="0027134B"/>
    <w:rsid w:val="002717C2"/>
    <w:rsid w:val="00271F63"/>
    <w:rsid w:val="0027297C"/>
    <w:rsid w:val="00285A43"/>
    <w:rsid w:val="00293137"/>
    <w:rsid w:val="00294329"/>
    <w:rsid w:val="0029789B"/>
    <w:rsid w:val="002A1397"/>
    <w:rsid w:val="002A13B6"/>
    <w:rsid w:val="002A23F1"/>
    <w:rsid w:val="002A279A"/>
    <w:rsid w:val="002A287E"/>
    <w:rsid w:val="002A5993"/>
    <w:rsid w:val="002A6291"/>
    <w:rsid w:val="002A6564"/>
    <w:rsid w:val="002B2243"/>
    <w:rsid w:val="002B2B9D"/>
    <w:rsid w:val="002B5E04"/>
    <w:rsid w:val="002B749A"/>
    <w:rsid w:val="002B77DE"/>
    <w:rsid w:val="002C2272"/>
    <w:rsid w:val="002C49AB"/>
    <w:rsid w:val="002C52BD"/>
    <w:rsid w:val="002D1332"/>
    <w:rsid w:val="002D2DA6"/>
    <w:rsid w:val="002D4068"/>
    <w:rsid w:val="002D46A8"/>
    <w:rsid w:val="002D622C"/>
    <w:rsid w:val="002D6E02"/>
    <w:rsid w:val="002E0849"/>
    <w:rsid w:val="002E0FA8"/>
    <w:rsid w:val="002E5A18"/>
    <w:rsid w:val="002E7550"/>
    <w:rsid w:val="002E7D33"/>
    <w:rsid w:val="002F65AE"/>
    <w:rsid w:val="002F71EF"/>
    <w:rsid w:val="0030285F"/>
    <w:rsid w:val="00302AE1"/>
    <w:rsid w:val="00305658"/>
    <w:rsid w:val="003078E8"/>
    <w:rsid w:val="00310573"/>
    <w:rsid w:val="00310C87"/>
    <w:rsid w:val="00310D96"/>
    <w:rsid w:val="00313ACE"/>
    <w:rsid w:val="00314BCC"/>
    <w:rsid w:val="00317EDD"/>
    <w:rsid w:val="003215B6"/>
    <w:rsid w:val="00321EB1"/>
    <w:rsid w:val="003242B2"/>
    <w:rsid w:val="00324FA5"/>
    <w:rsid w:val="00325C24"/>
    <w:rsid w:val="00325F41"/>
    <w:rsid w:val="003313F9"/>
    <w:rsid w:val="003322FC"/>
    <w:rsid w:val="0033312E"/>
    <w:rsid w:val="00333D96"/>
    <w:rsid w:val="00335830"/>
    <w:rsid w:val="00336753"/>
    <w:rsid w:val="00336FF7"/>
    <w:rsid w:val="003378C8"/>
    <w:rsid w:val="00340C98"/>
    <w:rsid w:val="0034327E"/>
    <w:rsid w:val="00343715"/>
    <w:rsid w:val="00345794"/>
    <w:rsid w:val="0034593E"/>
    <w:rsid w:val="00346BBF"/>
    <w:rsid w:val="00346FC3"/>
    <w:rsid w:val="003472B9"/>
    <w:rsid w:val="00352DF4"/>
    <w:rsid w:val="00360211"/>
    <w:rsid w:val="00360D33"/>
    <w:rsid w:val="00362A61"/>
    <w:rsid w:val="00362B08"/>
    <w:rsid w:val="00363008"/>
    <w:rsid w:val="003672BE"/>
    <w:rsid w:val="003703FA"/>
    <w:rsid w:val="003732CD"/>
    <w:rsid w:val="00373713"/>
    <w:rsid w:val="00373ABE"/>
    <w:rsid w:val="00374B74"/>
    <w:rsid w:val="00374D45"/>
    <w:rsid w:val="00375935"/>
    <w:rsid w:val="00377008"/>
    <w:rsid w:val="00380576"/>
    <w:rsid w:val="003808B1"/>
    <w:rsid w:val="003819A2"/>
    <w:rsid w:val="00391F0A"/>
    <w:rsid w:val="003928F3"/>
    <w:rsid w:val="003934FF"/>
    <w:rsid w:val="003946B4"/>
    <w:rsid w:val="00396BF0"/>
    <w:rsid w:val="003A3907"/>
    <w:rsid w:val="003A472F"/>
    <w:rsid w:val="003A5919"/>
    <w:rsid w:val="003A5AD1"/>
    <w:rsid w:val="003A6A56"/>
    <w:rsid w:val="003B134C"/>
    <w:rsid w:val="003B1DD9"/>
    <w:rsid w:val="003B3259"/>
    <w:rsid w:val="003B5F6F"/>
    <w:rsid w:val="003B7AFA"/>
    <w:rsid w:val="003C0274"/>
    <w:rsid w:val="003C1BCB"/>
    <w:rsid w:val="003C21F1"/>
    <w:rsid w:val="003C32DB"/>
    <w:rsid w:val="003C3AED"/>
    <w:rsid w:val="003C62DE"/>
    <w:rsid w:val="003C6DA5"/>
    <w:rsid w:val="003C6DD8"/>
    <w:rsid w:val="003C7303"/>
    <w:rsid w:val="003D0329"/>
    <w:rsid w:val="003D04D5"/>
    <w:rsid w:val="003D3079"/>
    <w:rsid w:val="003D450B"/>
    <w:rsid w:val="003D4E23"/>
    <w:rsid w:val="003D4E7C"/>
    <w:rsid w:val="003D50C3"/>
    <w:rsid w:val="003D5F8D"/>
    <w:rsid w:val="003D6D2F"/>
    <w:rsid w:val="003D71AF"/>
    <w:rsid w:val="003D726F"/>
    <w:rsid w:val="003D7983"/>
    <w:rsid w:val="003E026E"/>
    <w:rsid w:val="003E2642"/>
    <w:rsid w:val="003E2E91"/>
    <w:rsid w:val="003E51B1"/>
    <w:rsid w:val="003F02C2"/>
    <w:rsid w:val="003F3654"/>
    <w:rsid w:val="003F387E"/>
    <w:rsid w:val="003F5153"/>
    <w:rsid w:val="003F5F58"/>
    <w:rsid w:val="003F79B7"/>
    <w:rsid w:val="00403BD3"/>
    <w:rsid w:val="004044D2"/>
    <w:rsid w:val="004053B9"/>
    <w:rsid w:val="0040571A"/>
    <w:rsid w:val="004059DF"/>
    <w:rsid w:val="00411061"/>
    <w:rsid w:val="004150F5"/>
    <w:rsid w:val="004167EF"/>
    <w:rsid w:val="00417734"/>
    <w:rsid w:val="00422C35"/>
    <w:rsid w:val="00422EEA"/>
    <w:rsid w:val="00424A15"/>
    <w:rsid w:val="00426AF7"/>
    <w:rsid w:val="00432DA2"/>
    <w:rsid w:val="00432F09"/>
    <w:rsid w:val="00434A9B"/>
    <w:rsid w:val="00435D8B"/>
    <w:rsid w:val="00436476"/>
    <w:rsid w:val="004428B6"/>
    <w:rsid w:val="004511D0"/>
    <w:rsid w:val="0045163C"/>
    <w:rsid w:val="004602A5"/>
    <w:rsid w:val="004631D5"/>
    <w:rsid w:val="00467ADF"/>
    <w:rsid w:val="004768B2"/>
    <w:rsid w:val="0048052A"/>
    <w:rsid w:val="00480684"/>
    <w:rsid w:val="004827CE"/>
    <w:rsid w:val="00482E8F"/>
    <w:rsid w:val="004831FC"/>
    <w:rsid w:val="00484140"/>
    <w:rsid w:val="0048762A"/>
    <w:rsid w:val="0049124D"/>
    <w:rsid w:val="00492C56"/>
    <w:rsid w:val="004932C4"/>
    <w:rsid w:val="00493A04"/>
    <w:rsid w:val="0049707E"/>
    <w:rsid w:val="0049754C"/>
    <w:rsid w:val="00497B86"/>
    <w:rsid w:val="004A0ECE"/>
    <w:rsid w:val="004A3D8A"/>
    <w:rsid w:val="004A3FFD"/>
    <w:rsid w:val="004A51BC"/>
    <w:rsid w:val="004A5D5A"/>
    <w:rsid w:val="004B165E"/>
    <w:rsid w:val="004B338C"/>
    <w:rsid w:val="004B6081"/>
    <w:rsid w:val="004B6174"/>
    <w:rsid w:val="004B6B31"/>
    <w:rsid w:val="004C0680"/>
    <w:rsid w:val="004C0FA8"/>
    <w:rsid w:val="004C13AD"/>
    <w:rsid w:val="004C1BB6"/>
    <w:rsid w:val="004C391F"/>
    <w:rsid w:val="004C68EF"/>
    <w:rsid w:val="004D016E"/>
    <w:rsid w:val="004D0279"/>
    <w:rsid w:val="004D428B"/>
    <w:rsid w:val="004D653B"/>
    <w:rsid w:val="004E02BC"/>
    <w:rsid w:val="004E02C0"/>
    <w:rsid w:val="004E1DD2"/>
    <w:rsid w:val="004E65D7"/>
    <w:rsid w:val="004E7E5F"/>
    <w:rsid w:val="004F049E"/>
    <w:rsid w:val="004F54A4"/>
    <w:rsid w:val="004F6023"/>
    <w:rsid w:val="004F6769"/>
    <w:rsid w:val="0050060D"/>
    <w:rsid w:val="00501D55"/>
    <w:rsid w:val="005028A9"/>
    <w:rsid w:val="00502E2C"/>
    <w:rsid w:val="0050484C"/>
    <w:rsid w:val="0050486B"/>
    <w:rsid w:val="00506463"/>
    <w:rsid w:val="00506F51"/>
    <w:rsid w:val="00507256"/>
    <w:rsid w:val="005079C4"/>
    <w:rsid w:val="00510166"/>
    <w:rsid w:val="00515E74"/>
    <w:rsid w:val="00516302"/>
    <w:rsid w:val="00517D1D"/>
    <w:rsid w:val="00517D25"/>
    <w:rsid w:val="0052041F"/>
    <w:rsid w:val="00521B3F"/>
    <w:rsid w:val="005244BD"/>
    <w:rsid w:val="00525164"/>
    <w:rsid w:val="00527D34"/>
    <w:rsid w:val="00533C99"/>
    <w:rsid w:val="005379D9"/>
    <w:rsid w:val="00540924"/>
    <w:rsid w:val="005428AB"/>
    <w:rsid w:val="005428F1"/>
    <w:rsid w:val="005430B6"/>
    <w:rsid w:val="005435E5"/>
    <w:rsid w:val="005441AB"/>
    <w:rsid w:val="005473E8"/>
    <w:rsid w:val="0055011C"/>
    <w:rsid w:val="005510D1"/>
    <w:rsid w:val="00560817"/>
    <w:rsid w:val="00562EAD"/>
    <w:rsid w:val="00564643"/>
    <w:rsid w:val="0057733C"/>
    <w:rsid w:val="005803F8"/>
    <w:rsid w:val="00582D8E"/>
    <w:rsid w:val="0058522E"/>
    <w:rsid w:val="00585DFF"/>
    <w:rsid w:val="005867E6"/>
    <w:rsid w:val="00587B2C"/>
    <w:rsid w:val="00592625"/>
    <w:rsid w:val="00592BE9"/>
    <w:rsid w:val="0059665C"/>
    <w:rsid w:val="005A28D7"/>
    <w:rsid w:val="005A5226"/>
    <w:rsid w:val="005B32F9"/>
    <w:rsid w:val="005B3F22"/>
    <w:rsid w:val="005B4801"/>
    <w:rsid w:val="005B7C16"/>
    <w:rsid w:val="005C0678"/>
    <w:rsid w:val="005C0A7F"/>
    <w:rsid w:val="005C2610"/>
    <w:rsid w:val="005C2BE2"/>
    <w:rsid w:val="005C53D0"/>
    <w:rsid w:val="005C6439"/>
    <w:rsid w:val="005C74CC"/>
    <w:rsid w:val="005D26DB"/>
    <w:rsid w:val="005D4621"/>
    <w:rsid w:val="005D7D5D"/>
    <w:rsid w:val="005E0D58"/>
    <w:rsid w:val="005E1971"/>
    <w:rsid w:val="005E2953"/>
    <w:rsid w:val="005E4B38"/>
    <w:rsid w:val="005E6494"/>
    <w:rsid w:val="005E7627"/>
    <w:rsid w:val="005F20B8"/>
    <w:rsid w:val="005F2F8B"/>
    <w:rsid w:val="005F369F"/>
    <w:rsid w:val="005F4624"/>
    <w:rsid w:val="005F58BA"/>
    <w:rsid w:val="005F76CB"/>
    <w:rsid w:val="00600216"/>
    <w:rsid w:val="006025F0"/>
    <w:rsid w:val="00602F49"/>
    <w:rsid w:val="00604AED"/>
    <w:rsid w:val="006054F2"/>
    <w:rsid w:val="006055AB"/>
    <w:rsid w:val="006078AD"/>
    <w:rsid w:val="00607DB3"/>
    <w:rsid w:val="00610B24"/>
    <w:rsid w:val="006115BB"/>
    <w:rsid w:val="00615FA8"/>
    <w:rsid w:val="0062077D"/>
    <w:rsid w:val="006214E1"/>
    <w:rsid w:val="0062338F"/>
    <w:rsid w:val="00624E0A"/>
    <w:rsid w:val="00631306"/>
    <w:rsid w:val="0063210B"/>
    <w:rsid w:val="006358D5"/>
    <w:rsid w:val="0064074A"/>
    <w:rsid w:val="00641283"/>
    <w:rsid w:val="006423AB"/>
    <w:rsid w:val="006445D1"/>
    <w:rsid w:val="00644657"/>
    <w:rsid w:val="00644AE3"/>
    <w:rsid w:val="0064616C"/>
    <w:rsid w:val="00646613"/>
    <w:rsid w:val="006467CD"/>
    <w:rsid w:val="00646A7C"/>
    <w:rsid w:val="00646DED"/>
    <w:rsid w:val="00653BDC"/>
    <w:rsid w:val="00653DDA"/>
    <w:rsid w:val="00653FF3"/>
    <w:rsid w:val="006564DF"/>
    <w:rsid w:val="0065777D"/>
    <w:rsid w:val="00657E8B"/>
    <w:rsid w:val="006613CF"/>
    <w:rsid w:val="006622FD"/>
    <w:rsid w:val="006625B4"/>
    <w:rsid w:val="00665287"/>
    <w:rsid w:val="0066794B"/>
    <w:rsid w:val="00670A53"/>
    <w:rsid w:val="00671807"/>
    <w:rsid w:val="0067225F"/>
    <w:rsid w:val="00677C12"/>
    <w:rsid w:val="0068359A"/>
    <w:rsid w:val="00684E09"/>
    <w:rsid w:val="0068661D"/>
    <w:rsid w:val="00692EE9"/>
    <w:rsid w:val="00693857"/>
    <w:rsid w:val="00694F84"/>
    <w:rsid w:val="00697B5F"/>
    <w:rsid w:val="006A0C95"/>
    <w:rsid w:val="006A39A5"/>
    <w:rsid w:val="006A52CD"/>
    <w:rsid w:val="006A72A3"/>
    <w:rsid w:val="006A77E3"/>
    <w:rsid w:val="006B0F80"/>
    <w:rsid w:val="006B14CE"/>
    <w:rsid w:val="006B1FFB"/>
    <w:rsid w:val="006B2723"/>
    <w:rsid w:val="006B33A3"/>
    <w:rsid w:val="006B50FF"/>
    <w:rsid w:val="006B695C"/>
    <w:rsid w:val="006C0BB1"/>
    <w:rsid w:val="006C1FEC"/>
    <w:rsid w:val="006C281A"/>
    <w:rsid w:val="006C3916"/>
    <w:rsid w:val="006C6598"/>
    <w:rsid w:val="006D0416"/>
    <w:rsid w:val="006D05E7"/>
    <w:rsid w:val="006D137E"/>
    <w:rsid w:val="006D2223"/>
    <w:rsid w:val="006D2AD1"/>
    <w:rsid w:val="006D5DE7"/>
    <w:rsid w:val="006D7D18"/>
    <w:rsid w:val="006E0420"/>
    <w:rsid w:val="006E3E27"/>
    <w:rsid w:val="006E3FDF"/>
    <w:rsid w:val="006E68EC"/>
    <w:rsid w:val="006E6AAF"/>
    <w:rsid w:val="006E6E95"/>
    <w:rsid w:val="006F0ED9"/>
    <w:rsid w:val="006F2144"/>
    <w:rsid w:val="006F21B0"/>
    <w:rsid w:val="006F2C04"/>
    <w:rsid w:val="006F4151"/>
    <w:rsid w:val="006F492E"/>
    <w:rsid w:val="006F62E1"/>
    <w:rsid w:val="006F70E2"/>
    <w:rsid w:val="006F7B19"/>
    <w:rsid w:val="00701AC8"/>
    <w:rsid w:val="00701BA4"/>
    <w:rsid w:val="00701EA7"/>
    <w:rsid w:val="00702DA1"/>
    <w:rsid w:val="007032F7"/>
    <w:rsid w:val="0070617C"/>
    <w:rsid w:val="00707F92"/>
    <w:rsid w:val="0071245C"/>
    <w:rsid w:val="00713372"/>
    <w:rsid w:val="00713A97"/>
    <w:rsid w:val="00713D9D"/>
    <w:rsid w:val="0071500C"/>
    <w:rsid w:val="007207F4"/>
    <w:rsid w:val="007272CC"/>
    <w:rsid w:val="0073234F"/>
    <w:rsid w:val="007368E8"/>
    <w:rsid w:val="00736FC4"/>
    <w:rsid w:val="00743DA3"/>
    <w:rsid w:val="007502ED"/>
    <w:rsid w:val="00750D2E"/>
    <w:rsid w:val="0075106B"/>
    <w:rsid w:val="007513A0"/>
    <w:rsid w:val="00751C4F"/>
    <w:rsid w:val="00751FD5"/>
    <w:rsid w:val="00753025"/>
    <w:rsid w:val="00757B85"/>
    <w:rsid w:val="00762AC3"/>
    <w:rsid w:val="007670D5"/>
    <w:rsid w:val="00767384"/>
    <w:rsid w:val="007713BD"/>
    <w:rsid w:val="0077208B"/>
    <w:rsid w:val="00774823"/>
    <w:rsid w:val="00774A10"/>
    <w:rsid w:val="00776A33"/>
    <w:rsid w:val="00776E2E"/>
    <w:rsid w:val="00781669"/>
    <w:rsid w:val="0078332B"/>
    <w:rsid w:val="00785010"/>
    <w:rsid w:val="00786A64"/>
    <w:rsid w:val="00786CF1"/>
    <w:rsid w:val="007918B7"/>
    <w:rsid w:val="00792146"/>
    <w:rsid w:val="00793ED5"/>
    <w:rsid w:val="00794587"/>
    <w:rsid w:val="007964C4"/>
    <w:rsid w:val="00796E3F"/>
    <w:rsid w:val="00797DF1"/>
    <w:rsid w:val="00797FD6"/>
    <w:rsid w:val="007A1724"/>
    <w:rsid w:val="007A2668"/>
    <w:rsid w:val="007A29B8"/>
    <w:rsid w:val="007A5D85"/>
    <w:rsid w:val="007A6B49"/>
    <w:rsid w:val="007B1F48"/>
    <w:rsid w:val="007B29FD"/>
    <w:rsid w:val="007B3FC8"/>
    <w:rsid w:val="007B5F4D"/>
    <w:rsid w:val="007B6A48"/>
    <w:rsid w:val="007C1175"/>
    <w:rsid w:val="007C119E"/>
    <w:rsid w:val="007C3363"/>
    <w:rsid w:val="007C3812"/>
    <w:rsid w:val="007C4460"/>
    <w:rsid w:val="007C58EB"/>
    <w:rsid w:val="007C67F1"/>
    <w:rsid w:val="007D0849"/>
    <w:rsid w:val="007D0B9D"/>
    <w:rsid w:val="007D106A"/>
    <w:rsid w:val="007D2674"/>
    <w:rsid w:val="007D6898"/>
    <w:rsid w:val="007E0AFD"/>
    <w:rsid w:val="007E0BC7"/>
    <w:rsid w:val="007E208F"/>
    <w:rsid w:val="007E22AE"/>
    <w:rsid w:val="007E3FC5"/>
    <w:rsid w:val="007E4CAE"/>
    <w:rsid w:val="007E6934"/>
    <w:rsid w:val="007F2562"/>
    <w:rsid w:val="007F57FF"/>
    <w:rsid w:val="00801AEB"/>
    <w:rsid w:val="00802186"/>
    <w:rsid w:val="008029B0"/>
    <w:rsid w:val="0080303A"/>
    <w:rsid w:val="008057A4"/>
    <w:rsid w:val="00807673"/>
    <w:rsid w:val="00817D1C"/>
    <w:rsid w:val="008209B7"/>
    <w:rsid w:val="00822DC4"/>
    <w:rsid w:val="00826675"/>
    <w:rsid w:val="00827249"/>
    <w:rsid w:val="0083131F"/>
    <w:rsid w:val="00831561"/>
    <w:rsid w:val="008315A0"/>
    <w:rsid w:val="00833D3F"/>
    <w:rsid w:val="00834E8A"/>
    <w:rsid w:val="00836351"/>
    <w:rsid w:val="00836D1A"/>
    <w:rsid w:val="0084027E"/>
    <w:rsid w:val="00840512"/>
    <w:rsid w:val="008406E4"/>
    <w:rsid w:val="0084186B"/>
    <w:rsid w:val="008432CC"/>
    <w:rsid w:val="008436A4"/>
    <w:rsid w:val="00844629"/>
    <w:rsid w:val="008447E7"/>
    <w:rsid w:val="00845AED"/>
    <w:rsid w:val="00845DF0"/>
    <w:rsid w:val="008461AB"/>
    <w:rsid w:val="008474F4"/>
    <w:rsid w:val="00850C2D"/>
    <w:rsid w:val="00854995"/>
    <w:rsid w:val="008553CE"/>
    <w:rsid w:val="008556F7"/>
    <w:rsid w:val="00857699"/>
    <w:rsid w:val="00860AD3"/>
    <w:rsid w:val="0086254F"/>
    <w:rsid w:val="00863C81"/>
    <w:rsid w:val="0087160D"/>
    <w:rsid w:val="00871EAD"/>
    <w:rsid w:val="008740A2"/>
    <w:rsid w:val="0087479B"/>
    <w:rsid w:val="008747AF"/>
    <w:rsid w:val="00876370"/>
    <w:rsid w:val="00876BF9"/>
    <w:rsid w:val="008814AC"/>
    <w:rsid w:val="00884408"/>
    <w:rsid w:val="00893A41"/>
    <w:rsid w:val="00893D3F"/>
    <w:rsid w:val="00895627"/>
    <w:rsid w:val="00897214"/>
    <w:rsid w:val="008A1D2F"/>
    <w:rsid w:val="008A2A13"/>
    <w:rsid w:val="008A51D2"/>
    <w:rsid w:val="008A658A"/>
    <w:rsid w:val="008B0AF5"/>
    <w:rsid w:val="008B137C"/>
    <w:rsid w:val="008B2353"/>
    <w:rsid w:val="008B3764"/>
    <w:rsid w:val="008B52F9"/>
    <w:rsid w:val="008B6A33"/>
    <w:rsid w:val="008B74FF"/>
    <w:rsid w:val="008C2B5A"/>
    <w:rsid w:val="008D1F77"/>
    <w:rsid w:val="008D220E"/>
    <w:rsid w:val="008D4B2E"/>
    <w:rsid w:val="008D59A5"/>
    <w:rsid w:val="008D7399"/>
    <w:rsid w:val="008E0306"/>
    <w:rsid w:val="008E3C0C"/>
    <w:rsid w:val="008E3F3F"/>
    <w:rsid w:val="008E4516"/>
    <w:rsid w:val="008E4833"/>
    <w:rsid w:val="008E49E6"/>
    <w:rsid w:val="008F21A5"/>
    <w:rsid w:val="008F24E4"/>
    <w:rsid w:val="008F2C30"/>
    <w:rsid w:val="008F3870"/>
    <w:rsid w:val="008F3B3D"/>
    <w:rsid w:val="008F51F7"/>
    <w:rsid w:val="00900002"/>
    <w:rsid w:val="009017AA"/>
    <w:rsid w:val="00901A06"/>
    <w:rsid w:val="00902B0C"/>
    <w:rsid w:val="00905886"/>
    <w:rsid w:val="00907E41"/>
    <w:rsid w:val="00910BF6"/>
    <w:rsid w:val="00911450"/>
    <w:rsid w:val="00912303"/>
    <w:rsid w:val="00912403"/>
    <w:rsid w:val="00915382"/>
    <w:rsid w:val="00916D6F"/>
    <w:rsid w:val="00921B1D"/>
    <w:rsid w:val="00922396"/>
    <w:rsid w:val="00926E90"/>
    <w:rsid w:val="00930F74"/>
    <w:rsid w:val="00932EDC"/>
    <w:rsid w:val="00932F68"/>
    <w:rsid w:val="009342FA"/>
    <w:rsid w:val="009358FD"/>
    <w:rsid w:val="00935EB8"/>
    <w:rsid w:val="0093634E"/>
    <w:rsid w:val="00936776"/>
    <w:rsid w:val="00940675"/>
    <w:rsid w:val="00940CC0"/>
    <w:rsid w:val="009430CE"/>
    <w:rsid w:val="00943C7C"/>
    <w:rsid w:val="0094499A"/>
    <w:rsid w:val="009468AB"/>
    <w:rsid w:val="009474CE"/>
    <w:rsid w:val="00952011"/>
    <w:rsid w:val="0095229E"/>
    <w:rsid w:val="009542D7"/>
    <w:rsid w:val="00957C6C"/>
    <w:rsid w:val="009602AE"/>
    <w:rsid w:val="00961EDB"/>
    <w:rsid w:val="0096213D"/>
    <w:rsid w:val="00964023"/>
    <w:rsid w:val="00964F80"/>
    <w:rsid w:val="0096576C"/>
    <w:rsid w:val="00966F73"/>
    <w:rsid w:val="00970849"/>
    <w:rsid w:val="00972893"/>
    <w:rsid w:val="00975BDF"/>
    <w:rsid w:val="009770CD"/>
    <w:rsid w:val="00983013"/>
    <w:rsid w:val="00984D87"/>
    <w:rsid w:val="00986291"/>
    <w:rsid w:val="0098715F"/>
    <w:rsid w:val="00992861"/>
    <w:rsid w:val="009945B2"/>
    <w:rsid w:val="0099499E"/>
    <w:rsid w:val="0099529F"/>
    <w:rsid w:val="009956C8"/>
    <w:rsid w:val="00995979"/>
    <w:rsid w:val="009A0FF4"/>
    <w:rsid w:val="009A22BB"/>
    <w:rsid w:val="009A2DC3"/>
    <w:rsid w:val="009A2F36"/>
    <w:rsid w:val="009A50B8"/>
    <w:rsid w:val="009A5395"/>
    <w:rsid w:val="009B7DC2"/>
    <w:rsid w:val="009C05B4"/>
    <w:rsid w:val="009C2790"/>
    <w:rsid w:val="009C5E6E"/>
    <w:rsid w:val="009C67FD"/>
    <w:rsid w:val="009C7613"/>
    <w:rsid w:val="009C7F44"/>
    <w:rsid w:val="009D0273"/>
    <w:rsid w:val="009D17F6"/>
    <w:rsid w:val="009D1A82"/>
    <w:rsid w:val="009D4EFE"/>
    <w:rsid w:val="009D6F7A"/>
    <w:rsid w:val="009E0667"/>
    <w:rsid w:val="009F327D"/>
    <w:rsid w:val="009F40A5"/>
    <w:rsid w:val="009F41A9"/>
    <w:rsid w:val="009F4547"/>
    <w:rsid w:val="009F4748"/>
    <w:rsid w:val="009F4D1A"/>
    <w:rsid w:val="009F52FB"/>
    <w:rsid w:val="00A00425"/>
    <w:rsid w:val="00A00ACE"/>
    <w:rsid w:val="00A0309C"/>
    <w:rsid w:val="00A03110"/>
    <w:rsid w:val="00A05303"/>
    <w:rsid w:val="00A05B7C"/>
    <w:rsid w:val="00A06009"/>
    <w:rsid w:val="00A074E9"/>
    <w:rsid w:val="00A1067C"/>
    <w:rsid w:val="00A16B0B"/>
    <w:rsid w:val="00A20055"/>
    <w:rsid w:val="00A21605"/>
    <w:rsid w:val="00A22A8B"/>
    <w:rsid w:val="00A23821"/>
    <w:rsid w:val="00A24CB9"/>
    <w:rsid w:val="00A25845"/>
    <w:rsid w:val="00A259B4"/>
    <w:rsid w:val="00A25EF4"/>
    <w:rsid w:val="00A27A1F"/>
    <w:rsid w:val="00A3275D"/>
    <w:rsid w:val="00A32F83"/>
    <w:rsid w:val="00A334D2"/>
    <w:rsid w:val="00A33A50"/>
    <w:rsid w:val="00A365F0"/>
    <w:rsid w:val="00A40D89"/>
    <w:rsid w:val="00A43C8F"/>
    <w:rsid w:val="00A449CD"/>
    <w:rsid w:val="00A44FFF"/>
    <w:rsid w:val="00A47001"/>
    <w:rsid w:val="00A470F9"/>
    <w:rsid w:val="00A474C2"/>
    <w:rsid w:val="00A50117"/>
    <w:rsid w:val="00A5186F"/>
    <w:rsid w:val="00A51E1E"/>
    <w:rsid w:val="00A53BB0"/>
    <w:rsid w:val="00A56E6A"/>
    <w:rsid w:val="00A572BB"/>
    <w:rsid w:val="00A57DE9"/>
    <w:rsid w:val="00A607A6"/>
    <w:rsid w:val="00A6141D"/>
    <w:rsid w:val="00A62BE4"/>
    <w:rsid w:val="00A64CAB"/>
    <w:rsid w:val="00A67410"/>
    <w:rsid w:val="00A70EE4"/>
    <w:rsid w:val="00A71D80"/>
    <w:rsid w:val="00A743D3"/>
    <w:rsid w:val="00A74467"/>
    <w:rsid w:val="00A74E63"/>
    <w:rsid w:val="00A753D4"/>
    <w:rsid w:val="00A75C29"/>
    <w:rsid w:val="00A81C1C"/>
    <w:rsid w:val="00A837E2"/>
    <w:rsid w:val="00A86740"/>
    <w:rsid w:val="00A86C71"/>
    <w:rsid w:val="00A91057"/>
    <w:rsid w:val="00A963E7"/>
    <w:rsid w:val="00A9735B"/>
    <w:rsid w:val="00AA1441"/>
    <w:rsid w:val="00AA36AF"/>
    <w:rsid w:val="00AA36D7"/>
    <w:rsid w:val="00AA531E"/>
    <w:rsid w:val="00AA5F7F"/>
    <w:rsid w:val="00AA6B92"/>
    <w:rsid w:val="00AB116C"/>
    <w:rsid w:val="00AB1D4B"/>
    <w:rsid w:val="00AB2D7F"/>
    <w:rsid w:val="00AB56CD"/>
    <w:rsid w:val="00AB7643"/>
    <w:rsid w:val="00AB7C03"/>
    <w:rsid w:val="00AB7DDB"/>
    <w:rsid w:val="00AC0061"/>
    <w:rsid w:val="00AC0A1A"/>
    <w:rsid w:val="00AC0C3C"/>
    <w:rsid w:val="00AC28CA"/>
    <w:rsid w:val="00AC2FA3"/>
    <w:rsid w:val="00AC31BC"/>
    <w:rsid w:val="00AC5053"/>
    <w:rsid w:val="00AC52D2"/>
    <w:rsid w:val="00AC6B3B"/>
    <w:rsid w:val="00AC709A"/>
    <w:rsid w:val="00AC7B56"/>
    <w:rsid w:val="00AD122D"/>
    <w:rsid w:val="00AD12EE"/>
    <w:rsid w:val="00AD2175"/>
    <w:rsid w:val="00AD3FFB"/>
    <w:rsid w:val="00AD4A95"/>
    <w:rsid w:val="00AD73C3"/>
    <w:rsid w:val="00AD74D7"/>
    <w:rsid w:val="00AE1FBA"/>
    <w:rsid w:val="00AE4987"/>
    <w:rsid w:val="00AF512E"/>
    <w:rsid w:val="00B030B3"/>
    <w:rsid w:val="00B03F55"/>
    <w:rsid w:val="00B04608"/>
    <w:rsid w:val="00B05919"/>
    <w:rsid w:val="00B05AB0"/>
    <w:rsid w:val="00B10702"/>
    <w:rsid w:val="00B11053"/>
    <w:rsid w:val="00B11E69"/>
    <w:rsid w:val="00B1296B"/>
    <w:rsid w:val="00B147BB"/>
    <w:rsid w:val="00B165B4"/>
    <w:rsid w:val="00B171F0"/>
    <w:rsid w:val="00B216DD"/>
    <w:rsid w:val="00B317D3"/>
    <w:rsid w:val="00B33AB6"/>
    <w:rsid w:val="00B40EA9"/>
    <w:rsid w:val="00B448BC"/>
    <w:rsid w:val="00B44B78"/>
    <w:rsid w:val="00B477F7"/>
    <w:rsid w:val="00B5187E"/>
    <w:rsid w:val="00B52805"/>
    <w:rsid w:val="00B539FA"/>
    <w:rsid w:val="00B54B9A"/>
    <w:rsid w:val="00B568DE"/>
    <w:rsid w:val="00B63CDC"/>
    <w:rsid w:val="00B6472F"/>
    <w:rsid w:val="00B66D64"/>
    <w:rsid w:val="00B66F02"/>
    <w:rsid w:val="00B76F25"/>
    <w:rsid w:val="00B80034"/>
    <w:rsid w:val="00B82DB6"/>
    <w:rsid w:val="00B83037"/>
    <w:rsid w:val="00B84BC6"/>
    <w:rsid w:val="00B86D5B"/>
    <w:rsid w:val="00B90BC7"/>
    <w:rsid w:val="00B91CFE"/>
    <w:rsid w:val="00B9287F"/>
    <w:rsid w:val="00B93012"/>
    <w:rsid w:val="00B933E1"/>
    <w:rsid w:val="00B93E23"/>
    <w:rsid w:val="00B948BE"/>
    <w:rsid w:val="00B9653E"/>
    <w:rsid w:val="00B97F66"/>
    <w:rsid w:val="00BA0625"/>
    <w:rsid w:val="00BA1AD9"/>
    <w:rsid w:val="00BA27DD"/>
    <w:rsid w:val="00BA3675"/>
    <w:rsid w:val="00BA3E80"/>
    <w:rsid w:val="00BA46BA"/>
    <w:rsid w:val="00BA4706"/>
    <w:rsid w:val="00BA4A9A"/>
    <w:rsid w:val="00BA5407"/>
    <w:rsid w:val="00BA6836"/>
    <w:rsid w:val="00BA6FD6"/>
    <w:rsid w:val="00BA73BC"/>
    <w:rsid w:val="00BA73C6"/>
    <w:rsid w:val="00BB2016"/>
    <w:rsid w:val="00BB2147"/>
    <w:rsid w:val="00BB7A23"/>
    <w:rsid w:val="00BB7CE2"/>
    <w:rsid w:val="00BC0122"/>
    <w:rsid w:val="00BC21B4"/>
    <w:rsid w:val="00BC24CF"/>
    <w:rsid w:val="00BC597B"/>
    <w:rsid w:val="00BC5988"/>
    <w:rsid w:val="00BC5F07"/>
    <w:rsid w:val="00BC6195"/>
    <w:rsid w:val="00BC75EC"/>
    <w:rsid w:val="00BD1E1B"/>
    <w:rsid w:val="00BD7400"/>
    <w:rsid w:val="00BE318E"/>
    <w:rsid w:val="00BE7A28"/>
    <w:rsid w:val="00BF145B"/>
    <w:rsid w:val="00BF6789"/>
    <w:rsid w:val="00BF7D00"/>
    <w:rsid w:val="00C02F46"/>
    <w:rsid w:val="00C0338C"/>
    <w:rsid w:val="00C04295"/>
    <w:rsid w:val="00C046ED"/>
    <w:rsid w:val="00C15998"/>
    <w:rsid w:val="00C21DA4"/>
    <w:rsid w:val="00C23A23"/>
    <w:rsid w:val="00C259D5"/>
    <w:rsid w:val="00C26589"/>
    <w:rsid w:val="00C27778"/>
    <w:rsid w:val="00C32124"/>
    <w:rsid w:val="00C34A1E"/>
    <w:rsid w:val="00C37BAC"/>
    <w:rsid w:val="00C416AF"/>
    <w:rsid w:val="00C4319A"/>
    <w:rsid w:val="00C4436C"/>
    <w:rsid w:val="00C45C5C"/>
    <w:rsid w:val="00C475F3"/>
    <w:rsid w:val="00C516AE"/>
    <w:rsid w:val="00C52DC0"/>
    <w:rsid w:val="00C53D54"/>
    <w:rsid w:val="00C54355"/>
    <w:rsid w:val="00C55002"/>
    <w:rsid w:val="00C62E98"/>
    <w:rsid w:val="00C62EFA"/>
    <w:rsid w:val="00C6353D"/>
    <w:rsid w:val="00C6372D"/>
    <w:rsid w:val="00C642B1"/>
    <w:rsid w:val="00C65B9C"/>
    <w:rsid w:val="00C66358"/>
    <w:rsid w:val="00C66442"/>
    <w:rsid w:val="00C667AC"/>
    <w:rsid w:val="00C70339"/>
    <w:rsid w:val="00C711E7"/>
    <w:rsid w:val="00C716BB"/>
    <w:rsid w:val="00C71CDE"/>
    <w:rsid w:val="00C750A2"/>
    <w:rsid w:val="00C810CC"/>
    <w:rsid w:val="00C83880"/>
    <w:rsid w:val="00C83DAB"/>
    <w:rsid w:val="00C84DFC"/>
    <w:rsid w:val="00C856CB"/>
    <w:rsid w:val="00C85832"/>
    <w:rsid w:val="00C867B9"/>
    <w:rsid w:val="00C910CB"/>
    <w:rsid w:val="00C92762"/>
    <w:rsid w:val="00C95755"/>
    <w:rsid w:val="00C97355"/>
    <w:rsid w:val="00CA0EB7"/>
    <w:rsid w:val="00CA0FB7"/>
    <w:rsid w:val="00CA164E"/>
    <w:rsid w:val="00CA6719"/>
    <w:rsid w:val="00CA7514"/>
    <w:rsid w:val="00CB02E3"/>
    <w:rsid w:val="00CB16F5"/>
    <w:rsid w:val="00CB2CB4"/>
    <w:rsid w:val="00CB4506"/>
    <w:rsid w:val="00CB4D49"/>
    <w:rsid w:val="00CB543D"/>
    <w:rsid w:val="00CB71F5"/>
    <w:rsid w:val="00CC0323"/>
    <w:rsid w:val="00CC0ECA"/>
    <w:rsid w:val="00CC110E"/>
    <w:rsid w:val="00CC1AD0"/>
    <w:rsid w:val="00CC29B7"/>
    <w:rsid w:val="00CC30F1"/>
    <w:rsid w:val="00CC620A"/>
    <w:rsid w:val="00CC6D58"/>
    <w:rsid w:val="00CC6D61"/>
    <w:rsid w:val="00CD0B42"/>
    <w:rsid w:val="00CD3468"/>
    <w:rsid w:val="00CD36B7"/>
    <w:rsid w:val="00CD3719"/>
    <w:rsid w:val="00CE04AE"/>
    <w:rsid w:val="00CE1873"/>
    <w:rsid w:val="00CE251D"/>
    <w:rsid w:val="00CE3E95"/>
    <w:rsid w:val="00CE4586"/>
    <w:rsid w:val="00CE527F"/>
    <w:rsid w:val="00CE7EAF"/>
    <w:rsid w:val="00CF039D"/>
    <w:rsid w:val="00CF226F"/>
    <w:rsid w:val="00CF35B8"/>
    <w:rsid w:val="00CF3707"/>
    <w:rsid w:val="00CF3DCC"/>
    <w:rsid w:val="00CF53BF"/>
    <w:rsid w:val="00CF7AB4"/>
    <w:rsid w:val="00CF7CE4"/>
    <w:rsid w:val="00D00EA5"/>
    <w:rsid w:val="00D01D58"/>
    <w:rsid w:val="00D02449"/>
    <w:rsid w:val="00D0322B"/>
    <w:rsid w:val="00D045E7"/>
    <w:rsid w:val="00D049E7"/>
    <w:rsid w:val="00D05B0E"/>
    <w:rsid w:val="00D05B66"/>
    <w:rsid w:val="00D06F15"/>
    <w:rsid w:val="00D073DE"/>
    <w:rsid w:val="00D13C74"/>
    <w:rsid w:val="00D15C74"/>
    <w:rsid w:val="00D175A7"/>
    <w:rsid w:val="00D20304"/>
    <w:rsid w:val="00D2168B"/>
    <w:rsid w:val="00D22E26"/>
    <w:rsid w:val="00D23C42"/>
    <w:rsid w:val="00D24B86"/>
    <w:rsid w:val="00D262B3"/>
    <w:rsid w:val="00D270E2"/>
    <w:rsid w:val="00D32208"/>
    <w:rsid w:val="00D37950"/>
    <w:rsid w:val="00D37B71"/>
    <w:rsid w:val="00D37CA8"/>
    <w:rsid w:val="00D40B58"/>
    <w:rsid w:val="00D43F0A"/>
    <w:rsid w:val="00D51134"/>
    <w:rsid w:val="00D52CFD"/>
    <w:rsid w:val="00D5381E"/>
    <w:rsid w:val="00D54C0C"/>
    <w:rsid w:val="00D55941"/>
    <w:rsid w:val="00D566B6"/>
    <w:rsid w:val="00D57831"/>
    <w:rsid w:val="00D604F9"/>
    <w:rsid w:val="00D61F6D"/>
    <w:rsid w:val="00D62EF5"/>
    <w:rsid w:val="00D63B90"/>
    <w:rsid w:val="00D6455A"/>
    <w:rsid w:val="00D65FA3"/>
    <w:rsid w:val="00D72BA3"/>
    <w:rsid w:val="00D73648"/>
    <w:rsid w:val="00D75F2E"/>
    <w:rsid w:val="00D80782"/>
    <w:rsid w:val="00D80EB1"/>
    <w:rsid w:val="00D831A5"/>
    <w:rsid w:val="00D84F72"/>
    <w:rsid w:val="00D868BD"/>
    <w:rsid w:val="00D86B4B"/>
    <w:rsid w:val="00D90AC9"/>
    <w:rsid w:val="00D92B14"/>
    <w:rsid w:val="00D93E75"/>
    <w:rsid w:val="00D957A3"/>
    <w:rsid w:val="00D97ECB"/>
    <w:rsid w:val="00DA2014"/>
    <w:rsid w:val="00DA5018"/>
    <w:rsid w:val="00DA5EE9"/>
    <w:rsid w:val="00DB02C2"/>
    <w:rsid w:val="00DB18CC"/>
    <w:rsid w:val="00DB4517"/>
    <w:rsid w:val="00DB5B17"/>
    <w:rsid w:val="00DB6BD1"/>
    <w:rsid w:val="00DC287F"/>
    <w:rsid w:val="00DC3324"/>
    <w:rsid w:val="00DC4496"/>
    <w:rsid w:val="00DC71D2"/>
    <w:rsid w:val="00DD10B3"/>
    <w:rsid w:val="00DD1AD7"/>
    <w:rsid w:val="00DD25FA"/>
    <w:rsid w:val="00DD3BBC"/>
    <w:rsid w:val="00DD3FD5"/>
    <w:rsid w:val="00DD5277"/>
    <w:rsid w:val="00DD796C"/>
    <w:rsid w:val="00DE3131"/>
    <w:rsid w:val="00DE329A"/>
    <w:rsid w:val="00DE43C2"/>
    <w:rsid w:val="00DE6F6A"/>
    <w:rsid w:val="00DF1E7E"/>
    <w:rsid w:val="00DF22DE"/>
    <w:rsid w:val="00DF2955"/>
    <w:rsid w:val="00DF32BB"/>
    <w:rsid w:val="00DF3C14"/>
    <w:rsid w:val="00E0142C"/>
    <w:rsid w:val="00E01B7E"/>
    <w:rsid w:val="00E02D12"/>
    <w:rsid w:val="00E061B1"/>
    <w:rsid w:val="00E06774"/>
    <w:rsid w:val="00E104DE"/>
    <w:rsid w:val="00E110B7"/>
    <w:rsid w:val="00E110E2"/>
    <w:rsid w:val="00E11C32"/>
    <w:rsid w:val="00E12A2D"/>
    <w:rsid w:val="00E130D2"/>
    <w:rsid w:val="00E209D3"/>
    <w:rsid w:val="00E22949"/>
    <w:rsid w:val="00E234FC"/>
    <w:rsid w:val="00E26AD6"/>
    <w:rsid w:val="00E27157"/>
    <w:rsid w:val="00E32A3D"/>
    <w:rsid w:val="00E32A42"/>
    <w:rsid w:val="00E330EB"/>
    <w:rsid w:val="00E33913"/>
    <w:rsid w:val="00E34D16"/>
    <w:rsid w:val="00E35B01"/>
    <w:rsid w:val="00E35EFF"/>
    <w:rsid w:val="00E36130"/>
    <w:rsid w:val="00E404F0"/>
    <w:rsid w:val="00E4148B"/>
    <w:rsid w:val="00E46134"/>
    <w:rsid w:val="00E46399"/>
    <w:rsid w:val="00E47E4D"/>
    <w:rsid w:val="00E5107C"/>
    <w:rsid w:val="00E51223"/>
    <w:rsid w:val="00E51B3B"/>
    <w:rsid w:val="00E52237"/>
    <w:rsid w:val="00E61C3B"/>
    <w:rsid w:val="00E6214C"/>
    <w:rsid w:val="00E62928"/>
    <w:rsid w:val="00E64955"/>
    <w:rsid w:val="00E6510C"/>
    <w:rsid w:val="00E6672A"/>
    <w:rsid w:val="00E71E00"/>
    <w:rsid w:val="00E754A6"/>
    <w:rsid w:val="00E7712C"/>
    <w:rsid w:val="00E83364"/>
    <w:rsid w:val="00E857B3"/>
    <w:rsid w:val="00E87AF9"/>
    <w:rsid w:val="00E903AB"/>
    <w:rsid w:val="00E90C12"/>
    <w:rsid w:val="00E91079"/>
    <w:rsid w:val="00E91F07"/>
    <w:rsid w:val="00E91F0E"/>
    <w:rsid w:val="00E933CD"/>
    <w:rsid w:val="00E93FAC"/>
    <w:rsid w:val="00E94A7A"/>
    <w:rsid w:val="00E97048"/>
    <w:rsid w:val="00E97244"/>
    <w:rsid w:val="00EA12DA"/>
    <w:rsid w:val="00EA1CB5"/>
    <w:rsid w:val="00EA4A8F"/>
    <w:rsid w:val="00EA56F1"/>
    <w:rsid w:val="00EA7B22"/>
    <w:rsid w:val="00EB177B"/>
    <w:rsid w:val="00EB252B"/>
    <w:rsid w:val="00EB3771"/>
    <w:rsid w:val="00EB71A4"/>
    <w:rsid w:val="00EC3885"/>
    <w:rsid w:val="00EC3A6D"/>
    <w:rsid w:val="00EC7826"/>
    <w:rsid w:val="00ED23EA"/>
    <w:rsid w:val="00ED2503"/>
    <w:rsid w:val="00ED7492"/>
    <w:rsid w:val="00ED778A"/>
    <w:rsid w:val="00EE25F8"/>
    <w:rsid w:val="00EE3692"/>
    <w:rsid w:val="00EE3E0F"/>
    <w:rsid w:val="00EE4D44"/>
    <w:rsid w:val="00EE5422"/>
    <w:rsid w:val="00EE604E"/>
    <w:rsid w:val="00EE7249"/>
    <w:rsid w:val="00EE73F3"/>
    <w:rsid w:val="00EF0494"/>
    <w:rsid w:val="00EF543B"/>
    <w:rsid w:val="00EF5CEB"/>
    <w:rsid w:val="00EF64F1"/>
    <w:rsid w:val="00F02E2B"/>
    <w:rsid w:val="00F05B3E"/>
    <w:rsid w:val="00F07198"/>
    <w:rsid w:val="00F14773"/>
    <w:rsid w:val="00F17C86"/>
    <w:rsid w:val="00F20EE3"/>
    <w:rsid w:val="00F218DA"/>
    <w:rsid w:val="00F25F64"/>
    <w:rsid w:val="00F26611"/>
    <w:rsid w:val="00F27F91"/>
    <w:rsid w:val="00F32823"/>
    <w:rsid w:val="00F329F3"/>
    <w:rsid w:val="00F32AB6"/>
    <w:rsid w:val="00F34751"/>
    <w:rsid w:val="00F34984"/>
    <w:rsid w:val="00F354E9"/>
    <w:rsid w:val="00F35E5B"/>
    <w:rsid w:val="00F36071"/>
    <w:rsid w:val="00F36DE0"/>
    <w:rsid w:val="00F37C3D"/>
    <w:rsid w:val="00F40211"/>
    <w:rsid w:val="00F40A95"/>
    <w:rsid w:val="00F42378"/>
    <w:rsid w:val="00F42D57"/>
    <w:rsid w:val="00F44639"/>
    <w:rsid w:val="00F44713"/>
    <w:rsid w:val="00F44BFF"/>
    <w:rsid w:val="00F45372"/>
    <w:rsid w:val="00F46DB1"/>
    <w:rsid w:val="00F47A5A"/>
    <w:rsid w:val="00F51CEE"/>
    <w:rsid w:val="00F5270F"/>
    <w:rsid w:val="00F53EF5"/>
    <w:rsid w:val="00F5699F"/>
    <w:rsid w:val="00F60C63"/>
    <w:rsid w:val="00F61C13"/>
    <w:rsid w:val="00F61C28"/>
    <w:rsid w:val="00F622DC"/>
    <w:rsid w:val="00F62B93"/>
    <w:rsid w:val="00F6369B"/>
    <w:rsid w:val="00F647D1"/>
    <w:rsid w:val="00F64A2A"/>
    <w:rsid w:val="00F66039"/>
    <w:rsid w:val="00F66914"/>
    <w:rsid w:val="00F676FD"/>
    <w:rsid w:val="00F703E0"/>
    <w:rsid w:val="00F71012"/>
    <w:rsid w:val="00F76571"/>
    <w:rsid w:val="00F769BB"/>
    <w:rsid w:val="00F77CB2"/>
    <w:rsid w:val="00F815D2"/>
    <w:rsid w:val="00F867AA"/>
    <w:rsid w:val="00F86D6C"/>
    <w:rsid w:val="00F87189"/>
    <w:rsid w:val="00F90887"/>
    <w:rsid w:val="00F91F10"/>
    <w:rsid w:val="00F93FE1"/>
    <w:rsid w:val="00F942E1"/>
    <w:rsid w:val="00FA187F"/>
    <w:rsid w:val="00FA268E"/>
    <w:rsid w:val="00FA5BA7"/>
    <w:rsid w:val="00FA6503"/>
    <w:rsid w:val="00FB014C"/>
    <w:rsid w:val="00FB208E"/>
    <w:rsid w:val="00FB2CBC"/>
    <w:rsid w:val="00FB3149"/>
    <w:rsid w:val="00FB40E9"/>
    <w:rsid w:val="00FB4563"/>
    <w:rsid w:val="00FB5BA7"/>
    <w:rsid w:val="00FC0D77"/>
    <w:rsid w:val="00FC1B55"/>
    <w:rsid w:val="00FC3AC8"/>
    <w:rsid w:val="00FC3F7F"/>
    <w:rsid w:val="00FC6947"/>
    <w:rsid w:val="00FD0B81"/>
    <w:rsid w:val="00FD0FF5"/>
    <w:rsid w:val="00FD3A20"/>
    <w:rsid w:val="00FD410F"/>
    <w:rsid w:val="00FD58A5"/>
    <w:rsid w:val="00FD7A41"/>
    <w:rsid w:val="00FE0544"/>
    <w:rsid w:val="00FE0F86"/>
    <w:rsid w:val="00FE2EF4"/>
    <w:rsid w:val="00FE4A98"/>
    <w:rsid w:val="00FE5245"/>
    <w:rsid w:val="00FE60FF"/>
    <w:rsid w:val="00FE644A"/>
    <w:rsid w:val="00FF0DE2"/>
    <w:rsid w:val="00FF1660"/>
    <w:rsid w:val="00FF179F"/>
    <w:rsid w:val="00FF2D09"/>
    <w:rsid w:val="00FF5CBC"/>
    <w:rsid w:val="00FF60B9"/>
    <w:rsid w:val="00FF71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CD"/>
    <w:pPr>
      <w:jc w:val="both"/>
    </w:pPr>
    <w:rPr>
      <w:rFonts w:ascii="Arial" w:hAnsi="Arial"/>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3275D"/>
    <w:pPr>
      <w:tabs>
        <w:tab w:val="center" w:pos="4252"/>
        <w:tab w:val="right" w:pos="8504"/>
      </w:tabs>
    </w:pPr>
  </w:style>
  <w:style w:type="paragraph" w:styleId="Piedepgina">
    <w:name w:val="footer"/>
    <w:basedOn w:val="Normal"/>
    <w:rsid w:val="00A3275D"/>
    <w:pPr>
      <w:tabs>
        <w:tab w:val="center" w:pos="4252"/>
        <w:tab w:val="right" w:pos="8504"/>
      </w:tabs>
    </w:pPr>
  </w:style>
  <w:style w:type="character" w:styleId="Nmerodepgina">
    <w:name w:val="page number"/>
    <w:basedOn w:val="Fuentedeprrafopredeter"/>
    <w:rsid w:val="006115BB"/>
  </w:style>
  <w:style w:type="character" w:styleId="Hipervnculo">
    <w:name w:val="Hyperlink"/>
    <w:basedOn w:val="Fuentedeprrafopredeter"/>
    <w:rsid w:val="006115BB"/>
    <w:rPr>
      <w:color w:val="0000FF"/>
      <w:u w:val="single"/>
    </w:rPr>
  </w:style>
  <w:style w:type="table" w:styleId="Tablaconcuadrcula">
    <w:name w:val="Table Grid"/>
    <w:basedOn w:val="Tablanormal"/>
    <w:rsid w:val="00E933CD"/>
    <w:pPr>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B11053"/>
    <w:rPr>
      <w:color w:val="800080" w:themeColor="followedHyperlink"/>
      <w:u w:val="single"/>
    </w:rPr>
  </w:style>
  <w:style w:type="paragraph" w:styleId="Prrafodelista">
    <w:name w:val="List Paragraph"/>
    <w:basedOn w:val="Normal"/>
    <w:uiPriority w:val="34"/>
    <w:qFormat/>
    <w:rsid w:val="00CF35B8"/>
    <w:pPr>
      <w:ind w:left="720"/>
      <w:contextualSpacing/>
    </w:pPr>
  </w:style>
  <w:style w:type="paragraph" w:styleId="Textodeglobo">
    <w:name w:val="Balloon Text"/>
    <w:basedOn w:val="Normal"/>
    <w:link w:val="TextodegloboCar"/>
    <w:rsid w:val="0034593E"/>
    <w:rPr>
      <w:rFonts w:ascii="Tahoma" w:hAnsi="Tahoma" w:cs="Tahoma"/>
      <w:sz w:val="16"/>
      <w:szCs w:val="16"/>
    </w:rPr>
  </w:style>
  <w:style w:type="character" w:customStyle="1" w:styleId="TextodegloboCar">
    <w:name w:val="Texto de globo Car"/>
    <w:basedOn w:val="Fuentedeprrafopredeter"/>
    <w:link w:val="Textodeglobo"/>
    <w:rsid w:val="0034593E"/>
    <w:rPr>
      <w:rFonts w:ascii="Tahoma" w:hAnsi="Tahoma" w:cs="Tahoma"/>
      <w:sz w:val="16"/>
      <w:szCs w:val="16"/>
    </w:rPr>
  </w:style>
  <w:style w:type="paragraph" w:styleId="Textonotapie">
    <w:name w:val="footnote text"/>
    <w:basedOn w:val="Normal"/>
    <w:link w:val="TextonotapieCar"/>
    <w:rsid w:val="00DE3131"/>
    <w:rPr>
      <w:sz w:val="20"/>
      <w:szCs w:val="20"/>
    </w:rPr>
  </w:style>
  <w:style w:type="character" w:customStyle="1" w:styleId="TextonotapieCar">
    <w:name w:val="Texto nota pie Car"/>
    <w:basedOn w:val="Fuentedeprrafopredeter"/>
    <w:link w:val="Textonotapie"/>
    <w:rsid w:val="00DE3131"/>
    <w:rPr>
      <w:rFonts w:ascii="Arial" w:hAnsi="Arial"/>
    </w:rPr>
  </w:style>
  <w:style w:type="character" w:styleId="Refdenotaalpie">
    <w:name w:val="footnote reference"/>
    <w:basedOn w:val="Fuentedeprrafopredeter"/>
    <w:rsid w:val="00DE3131"/>
    <w:rPr>
      <w:vertAlign w:val="superscript"/>
    </w:rPr>
  </w:style>
  <w:style w:type="paragraph" w:customStyle="1" w:styleId="Default">
    <w:name w:val="Default"/>
    <w:rsid w:val="00CC620A"/>
    <w:pPr>
      <w:autoSpaceDE w:val="0"/>
      <w:autoSpaceDN w:val="0"/>
      <w:adjustRightInd w:val="0"/>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624E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075374">
      <w:bodyDiv w:val="1"/>
      <w:marLeft w:val="0"/>
      <w:marRight w:val="0"/>
      <w:marTop w:val="0"/>
      <w:marBottom w:val="0"/>
      <w:divBdr>
        <w:top w:val="none" w:sz="0" w:space="0" w:color="auto"/>
        <w:left w:val="none" w:sz="0" w:space="0" w:color="auto"/>
        <w:bottom w:val="none" w:sz="0" w:space="0" w:color="auto"/>
        <w:right w:val="none" w:sz="0" w:space="0" w:color="auto"/>
      </w:divBdr>
    </w:div>
    <w:div w:id="369109263">
      <w:bodyDiv w:val="1"/>
      <w:marLeft w:val="0"/>
      <w:marRight w:val="0"/>
      <w:marTop w:val="0"/>
      <w:marBottom w:val="0"/>
      <w:divBdr>
        <w:top w:val="none" w:sz="0" w:space="0" w:color="auto"/>
        <w:left w:val="none" w:sz="0" w:space="0" w:color="auto"/>
        <w:bottom w:val="none" w:sz="0" w:space="0" w:color="auto"/>
        <w:right w:val="none" w:sz="0" w:space="0" w:color="auto"/>
      </w:divBdr>
    </w:div>
    <w:div w:id="557399331">
      <w:bodyDiv w:val="1"/>
      <w:marLeft w:val="0"/>
      <w:marRight w:val="0"/>
      <w:marTop w:val="0"/>
      <w:marBottom w:val="0"/>
      <w:divBdr>
        <w:top w:val="none" w:sz="0" w:space="0" w:color="auto"/>
        <w:left w:val="none" w:sz="0" w:space="0" w:color="auto"/>
        <w:bottom w:val="none" w:sz="0" w:space="0" w:color="auto"/>
        <w:right w:val="none" w:sz="0" w:space="0" w:color="auto"/>
      </w:divBdr>
    </w:div>
    <w:div w:id="707801924">
      <w:bodyDiv w:val="1"/>
      <w:marLeft w:val="0"/>
      <w:marRight w:val="0"/>
      <w:marTop w:val="0"/>
      <w:marBottom w:val="0"/>
      <w:divBdr>
        <w:top w:val="none" w:sz="0" w:space="0" w:color="auto"/>
        <w:left w:val="none" w:sz="0" w:space="0" w:color="auto"/>
        <w:bottom w:val="none" w:sz="0" w:space="0" w:color="auto"/>
        <w:right w:val="none" w:sz="0" w:space="0" w:color="auto"/>
      </w:divBdr>
    </w:div>
    <w:div w:id="889805811">
      <w:bodyDiv w:val="1"/>
      <w:marLeft w:val="0"/>
      <w:marRight w:val="0"/>
      <w:marTop w:val="0"/>
      <w:marBottom w:val="0"/>
      <w:divBdr>
        <w:top w:val="none" w:sz="0" w:space="0" w:color="auto"/>
        <w:left w:val="none" w:sz="0" w:space="0" w:color="auto"/>
        <w:bottom w:val="none" w:sz="0" w:space="0" w:color="auto"/>
        <w:right w:val="none" w:sz="0" w:space="0" w:color="auto"/>
      </w:divBdr>
    </w:div>
    <w:div w:id="1136263873">
      <w:bodyDiv w:val="1"/>
      <w:marLeft w:val="0"/>
      <w:marRight w:val="0"/>
      <w:marTop w:val="0"/>
      <w:marBottom w:val="0"/>
      <w:divBdr>
        <w:top w:val="none" w:sz="0" w:space="0" w:color="auto"/>
        <w:left w:val="none" w:sz="0" w:space="0" w:color="auto"/>
        <w:bottom w:val="none" w:sz="0" w:space="0" w:color="auto"/>
        <w:right w:val="none" w:sz="0" w:space="0" w:color="auto"/>
      </w:divBdr>
    </w:div>
    <w:div w:id="1153528788">
      <w:bodyDiv w:val="1"/>
      <w:marLeft w:val="0"/>
      <w:marRight w:val="0"/>
      <w:marTop w:val="0"/>
      <w:marBottom w:val="0"/>
      <w:divBdr>
        <w:top w:val="none" w:sz="0" w:space="0" w:color="auto"/>
        <w:left w:val="none" w:sz="0" w:space="0" w:color="auto"/>
        <w:bottom w:val="none" w:sz="0" w:space="0" w:color="auto"/>
        <w:right w:val="none" w:sz="0" w:space="0" w:color="auto"/>
      </w:divBdr>
    </w:div>
    <w:div w:id="1229924516">
      <w:bodyDiv w:val="1"/>
      <w:marLeft w:val="0"/>
      <w:marRight w:val="0"/>
      <w:marTop w:val="0"/>
      <w:marBottom w:val="0"/>
      <w:divBdr>
        <w:top w:val="none" w:sz="0" w:space="0" w:color="auto"/>
        <w:left w:val="none" w:sz="0" w:space="0" w:color="auto"/>
        <w:bottom w:val="none" w:sz="0" w:space="0" w:color="auto"/>
        <w:right w:val="none" w:sz="0" w:space="0" w:color="auto"/>
      </w:divBdr>
    </w:div>
    <w:div w:id="1233782387">
      <w:bodyDiv w:val="1"/>
      <w:marLeft w:val="0"/>
      <w:marRight w:val="0"/>
      <w:marTop w:val="0"/>
      <w:marBottom w:val="0"/>
      <w:divBdr>
        <w:top w:val="none" w:sz="0" w:space="0" w:color="auto"/>
        <w:left w:val="none" w:sz="0" w:space="0" w:color="auto"/>
        <w:bottom w:val="none" w:sz="0" w:space="0" w:color="auto"/>
        <w:right w:val="none" w:sz="0" w:space="0" w:color="auto"/>
      </w:divBdr>
    </w:div>
    <w:div w:id="1645545605">
      <w:bodyDiv w:val="1"/>
      <w:marLeft w:val="0"/>
      <w:marRight w:val="0"/>
      <w:marTop w:val="0"/>
      <w:marBottom w:val="0"/>
      <w:divBdr>
        <w:top w:val="none" w:sz="0" w:space="0" w:color="auto"/>
        <w:left w:val="none" w:sz="0" w:space="0" w:color="auto"/>
        <w:bottom w:val="none" w:sz="0" w:space="0" w:color="auto"/>
        <w:right w:val="none" w:sz="0" w:space="0" w:color="auto"/>
      </w:divBdr>
    </w:div>
    <w:div w:id="1907107473">
      <w:bodyDiv w:val="1"/>
      <w:marLeft w:val="0"/>
      <w:marRight w:val="0"/>
      <w:marTop w:val="0"/>
      <w:marBottom w:val="0"/>
      <w:divBdr>
        <w:top w:val="none" w:sz="0" w:space="0" w:color="auto"/>
        <w:left w:val="none" w:sz="0" w:space="0" w:color="auto"/>
        <w:bottom w:val="none" w:sz="0" w:space="0" w:color="auto"/>
        <w:right w:val="none" w:sz="0" w:space="0" w:color="auto"/>
      </w:divBdr>
      <w:divsChild>
        <w:div w:id="22754951">
          <w:marLeft w:val="0"/>
          <w:marRight w:val="0"/>
          <w:marTop w:val="0"/>
          <w:marBottom w:val="0"/>
          <w:divBdr>
            <w:top w:val="none" w:sz="0" w:space="0" w:color="auto"/>
            <w:left w:val="none" w:sz="0" w:space="0" w:color="auto"/>
            <w:bottom w:val="none" w:sz="0" w:space="0" w:color="auto"/>
            <w:right w:val="none" w:sz="0" w:space="0" w:color="auto"/>
          </w:divBdr>
          <w:divsChild>
            <w:div w:id="198933623">
              <w:marLeft w:val="0"/>
              <w:marRight w:val="0"/>
              <w:marTop w:val="0"/>
              <w:marBottom w:val="0"/>
              <w:divBdr>
                <w:top w:val="none" w:sz="0" w:space="0" w:color="auto"/>
                <w:left w:val="none" w:sz="0" w:space="0" w:color="auto"/>
                <w:bottom w:val="none" w:sz="0" w:space="0" w:color="auto"/>
                <w:right w:val="none" w:sz="0" w:space="0" w:color="auto"/>
              </w:divBdr>
              <w:divsChild>
                <w:div w:id="471598780">
                  <w:marLeft w:val="0"/>
                  <w:marRight w:val="0"/>
                  <w:marTop w:val="0"/>
                  <w:marBottom w:val="0"/>
                  <w:divBdr>
                    <w:top w:val="none" w:sz="0" w:space="0" w:color="auto"/>
                    <w:left w:val="none" w:sz="0" w:space="0" w:color="auto"/>
                    <w:bottom w:val="none" w:sz="0" w:space="0" w:color="auto"/>
                    <w:right w:val="none" w:sz="0" w:space="0" w:color="auto"/>
                  </w:divBdr>
                  <w:divsChild>
                    <w:div w:id="366180428">
                      <w:marLeft w:val="0"/>
                      <w:marRight w:val="0"/>
                      <w:marTop w:val="0"/>
                      <w:marBottom w:val="0"/>
                      <w:divBdr>
                        <w:top w:val="none" w:sz="0" w:space="0" w:color="auto"/>
                        <w:left w:val="none" w:sz="0" w:space="0" w:color="auto"/>
                        <w:bottom w:val="none" w:sz="0" w:space="0" w:color="auto"/>
                        <w:right w:val="none" w:sz="0" w:space="0" w:color="auto"/>
                      </w:divBdr>
                    </w:div>
                  </w:divsChild>
                </w:div>
                <w:div w:id="1489054513">
                  <w:marLeft w:val="0"/>
                  <w:marRight w:val="0"/>
                  <w:marTop w:val="0"/>
                  <w:marBottom w:val="0"/>
                  <w:divBdr>
                    <w:top w:val="none" w:sz="0" w:space="0" w:color="auto"/>
                    <w:left w:val="none" w:sz="0" w:space="0" w:color="auto"/>
                    <w:bottom w:val="none" w:sz="0" w:space="0" w:color="auto"/>
                    <w:right w:val="none" w:sz="0" w:space="0" w:color="auto"/>
                  </w:divBdr>
                  <w:divsChild>
                    <w:div w:id="16416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AjuntAlzira" TargetMode="External"/><Relationship Id="rId2" Type="http://schemas.openxmlformats.org/officeDocument/2006/relationships/image" Target="media/image6.png"/><Relationship Id="rId1" Type="http://schemas.openxmlformats.org/officeDocument/2006/relationships/hyperlink" Target="https://www.facebook.com/AjuntAlzira" TargetMode="External"/><Relationship Id="rId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bde.es/f/webbde/SES/AnalisisEconomico/AnalisisEconomico/ProyeccionesMacroeconomicas/ficheros/be11122020-pro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clfs\Departamentos\Intervencion\Internas%20Intervenci&#243;n\PLANTILLA\plantilla%20blan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2A40-05AB-464A-9E19-2FC7AEEF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blanc</Template>
  <TotalTime>129</TotalTime>
  <Pages>11</Pages>
  <Words>2876</Words>
  <Characters>15295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18135</CharactersWithSpaces>
  <SharedDoc>false</SharedDoc>
  <HLinks>
    <vt:vector size="12" baseType="variant">
      <vt:variant>
        <vt:i4>7602224</vt:i4>
      </vt:variant>
      <vt:variant>
        <vt:i4>-1</vt:i4>
      </vt:variant>
      <vt:variant>
        <vt:i4>2050</vt:i4>
      </vt:variant>
      <vt:variant>
        <vt:i4>4</vt:i4>
      </vt:variant>
      <vt:variant>
        <vt:lpwstr>https://twitter.com/AjuntAlzira</vt:lpwstr>
      </vt:variant>
      <vt:variant>
        <vt:lpwstr/>
      </vt:variant>
      <vt:variant>
        <vt:i4>4325451</vt:i4>
      </vt:variant>
      <vt:variant>
        <vt:i4>-1</vt:i4>
      </vt:variant>
      <vt:variant>
        <vt:i4>2051</vt:i4>
      </vt:variant>
      <vt:variant>
        <vt:i4>4</vt:i4>
      </vt:variant>
      <vt:variant>
        <vt:lpwstr>https://www.facebook.com/AjuntAlzira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salvador</cp:lastModifiedBy>
  <cp:revision>16</cp:revision>
  <cp:lastPrinted>2021-03-25T11:37:00Z</cp:lastPrinted>
  <dcterms:created xsi:type="dcterms:W3CDTF">2021-03-25T09:40:00Z</dcterms:created>
  <dcterms:modified xsi:type="dcterms:W3CDTF">2021-03-29T09:11:00Z</dcterms:modified>
</cp:coreProperties>
</file>