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47" w:rsidRDefault="00CA397C">
      <w:pPr>
        <w:pStyle w:val="ARIAL11MCO"/>
        <w:widowControl w:val="0"/>
        <w:spacing w:after="240"/>
      </w:pPr>
      <w:r>
        <w:fldChar w:fldCharType="begin"/>
      </w:r>
      <w:r w:rsidR="004C4947">
        <w:instrText xml:space="preserve"> AUTHOR  \* MERGEFORMAT </w:instrText>
      </w:r>
      <w:r>
        <w:fldChar w:fldCharType="separate"/>
      </w:r>
      <w:r w:rsidR="00867446">
        <w:rPr>
          <w:noProof/>
        </w:rPr>
        <w:t>GESTIÓ TRIBUTARIA</w:t>
      </w:r>
      <w:r>
        <w:fldChar w:fldCharType="end"/>
      </w:r>
      <w:r w:rsidR="004C4947">
        <w:t xml:space="preserve"> </w:t>
      </w:r>
      <w:r>
        <w:fldChar w:fldCharType="begin"/>
      </w:r>
      <w:r w:rsidR="004C4947">
        <w:instrText xml:space="preserve"> TITLE  \* MERGEFORMAT </w:instrText>
      </w:r>
      <w:r>
        <w:fldChar w:fldCharType="end"/>
      </w:r>
      <w:r w:rsidR="00621F32">
        <w:t xml:space="preserve"> </w:t>
      </w:r>
      <w:fldSimple w:instr=" KEYWORDS  \* MERGEFORMAT ">
        <w:r w:rsidR="00867446">
          <w:t>PLE 31/01/2018</w:t>
        </w:r>
      </w:fldSimple>
    </w:p>
    <w:p w:rsidR="004C4947" w:rsidRDefault="004C4947" w:rsidP="00902398">
      <w:pPr>
        <w:pStyle w:val="ARIAL11M"/>
      </w:pPr>
      <w:r>
        <w:rPr>
          <w:vanish/>
        </w:rPr>
        <w:t>F</w:t>
      </w:r>
      <w:fldSimple w:instr=" SUBJECT  \* MERGEFORMAT ">
        <w:r w:rsidR="00867446">
          <w:t>11. MODIFICACIÓ DE L’ORDENANÇA FISCAL REGULADORA DE L’IMPOST SOBRE BÉNS IMMOBLES</w:t>
        </w:r>
      </w:fldSimple>
      <w:r w:rsidR="00867446">
        <w:t>.</w:t>
      </w:r>
    </w:p>
    <w:p w:rsidR="00867446" w:rsidRDefault="00867446" w:rsidP="00867446">
      <w:pPr>
        <w:rPr>
          <w:rFonts w:cs="Arial"/>
          <w:szCs w:val="22"/>
        </w:rPr>
      </w:pPr>
      <w:r>
        <w:rPr>
          <w:rFonts w:cs="Arial"/>
          <w:szCs w:val="22"/>
        </w:rPr>
        <w:t xml:space="preserve">Per </w:t>
      </w:r>
      <w:proofErr w:type="spellStart"/>
      <w:r>
        <w:rPr>
          <w:rFonts w:cs="Arial"/>
          <w:szCs w:val="22"/>
        </w:rPr>
        <w:t>escrit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d’alcaldia</w:t>
      </w:r>
      <w:proofErr w:type="spellEnd"/>
      <w:r>
        <w:rPr>
          <w:rFonts w:cs="Arial"/>
          <w:szCs w:val="22"/>
        </w:rPr>
        <w:t xml:space="preserve"> del </w:t>
      </w:r>
      <w:proofErr w:type="spellStart"/>
      <w:r>
        <w:rPr>
          <w:rFonts w:cs="Arial"/>
          <w:szCs w:val="22"/>
        </w:rPr>
        <w:t>passat</w:t>
      </w:r>
      <w:proofErr w:type="spellEnd"/>
      <w:r>
        <w:rPr>
          <w:rFonts w:cs="Arial"/>
          <w:szCs w:val="22"/>
        </w:rPr>
        <w:t xml:space="preserve"> 25 de </w:t>
      </w:r>
      <w:proofErr w:type="spellStart"/>
      <w:r>
        <w:rPr>
          <w:rFonts w:cs="Arial"/>
          <w:szCs w:val="22"/>
        </w:rPr>
        <w:t>maig</w:t>
      </w:r>
      <w:proofErr w:type="spellEnd"/>
      <w:r>
        <w:rPr>
          <w:rFonts w:cs="Arial"/>
          <w:szCs w:val="22"/>
        </w:rPr>
        <w:t xml:space="preserve"> es </w:t>
      </w:r>
      <w:proofErr w:type="spellStart"/>
      <w:r>
        <w:rPr>
          <w:rFonts w:cs="Arial"/>
          <w:szCs w:val="22"/>
        </w:rPr>
        <w:t>sol·licità</w:t>
      </w:r>
      <w:proofErr w:type="spellEnd"/>
      <w:r>
        <w:rPr>
          <w:rFonts w:cs="Arial"/>
          <w:szCs w:val="22"/>
        </w:rPr>
        <w:t xml:space="preserve"> a la </w:t>
      </w:r>
      <w:proofErr w:type="spellStart"/>
      <w:r>
        <w:rPr>
          <w:rFonts w:cs="Arial"/>
          <w:szCs w:val="22"/>
        </w:rPr>
        <w:t>Direcció</w:t>
      </w:r>
      <w:proofErr w:type="spellEnd"/>
      <w:r>
        <w:rPr>
          <w:rFonts w:cs="Arial"/>
          <w:szCs w:val="22"/>
        </w:rPr>
        <w:t xml:space="preserve"> General del </w:t>
      </w:r>
      <w:proofErr w:type="spellStart"/>
      <w:proofErr w:type="gramStart"/>
      <w:r>
        <w:rPr>
          <w:rFonts w:cs="Arial"/>
          <w:szCs w:val="22"/>
        </w:rPr>
        <w:t>Cadastre</w:t>
      </w:r>
      <w:proofErr w:type="spellEnd"/>
      <w:r>
        <w:rPr>
          <w:rFonts w:cs="Arial"/>
          <w:szCs w:val="22"/>
        </w:rPr>
        <w:t xml:space="preserve"> ,</w:t>
      </w:r>
      <w:proofErr w:type="gram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l’aplicació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valors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cadastrals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bens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immobles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urbans</w:t>
      </w:r>
      <w:proofErr w:type="spellEnd"/>
      <w:r>
        <w:rPr>
          <w:rFonts w:cs="Arial"/>
          <w:szCs w:val="22"/>
        </w:rPr>
        <w:t xml:space="preserve"> del </w:t>
      </w:r>
      <w:proofErr w:type="spellStart"/>
      <w:r>
        <w:rPr>
          <w:rFonts w:cs="Arial"/>
          <w:szCs w:val="22"/>
        </w:rPr>
        <w:t>terme</w:t>
      </w:r>
      <w:proofErr w:type="spellEnd"/>
      <w:r>
        <w:rPr>
          <w:rFonts w:cs="Arial"/>
          <w:szCs w:val="22"/>
        </w:rPr>
        <w:t xml:space="preserve"> municipal, </w:t>
      </w:r>
      <w:proofErr w:type="spellStart"/>
      <w:r w:rsidRPr="00156B65">
        <w:rPr>
          <w:rFonts w:cs="Arial"/>
          <w:szCs w:val="22"/>
        </w:rPr>
        <w:t>els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coeficients</w:t>
      </w:r>
      <w:proofErr w:type="spellEnd"/>
      <w:r w:rsidRPr="00156B65">
        <w:rPr>
          <w:rFonts w:cs="Arial"/>
          <w:szCs w:val="22"/>
        </w:rPr>
        <w:t xml:space="preserve"> que</w:t>
      </w:r>
      <w:r>
        <w:rPr>
          <w:rFonts w:cs="Arial"/>
          <w:szCs w:val="22"/>
        </w:rPr>
        <w:t>,</w:t>
      </w:r>
      <w:r w:rsidRPr="00156B65">
        <w:rPr>
          <w:rFonts w:cs="Arial"/>
          <w:szCs w:val="22"/>
        </w:rPr>
        <w:t xml:space="preserve"> per al </w:t>
      </w:r>
      <w:proofErr w:type="spellStart"/>
      <w:r w:rsidRPr="00156B65">
        <w:rPr>
          <w:rFonts w:cs="Arial"/>
          <w:szCs w:val="22"/>
        </w:rPr>
        <w:t>seu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disminució</w:t>
      </w:r>
      <w:proofErr w:type="spellEnd"/>
      <w:r>
        <w:rPr>
          <w:rFonts w:cs="Arial"/>
          <w:szCs w:val="22"/>
        </w:rPr>
        <w:t>,</w:t>
      </w:r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establisca</w:t>
      </w:r>
      <w:proofErr w:type="spellEnd"/>
      <w:r w:rsidRPr="00156B65">
        <w:rPr>
          <w:rFonts w:cs="Arial"/>
          <w:szCs w:val="22"/>
        </w:rPr>
        <w:t xml:space="preserve"> a este </w:t>
      </w:r>
      <w:proofErr w:type="spellStart"/>
      <w:r w:rsidRPr="00156B65">
        <w:rPr>
          <w:rFonts w:cs="Arial"/>
          <w:szCs w:val="22"/>
        </w:rPr>
        <w:t>efecte</w:t>
      </w:r>
      <w:proofErr w:type="spellEnd"/>
      <w:r w:rsidRPr="00156B65">
        <w:rPr>
          <w:rFonts w:cs="Arial"/>
          <w:szCs w:val="22"/>
        </w:rPr>
        <w:t xml:space="preserve"> la </w:t>
      </w:r>
      <w:proofErr w:type="spellStart"/>
      <w:r w:rsidRPr="00156B65">
        <w:rPr>
          <w:rFonts w:cs="Arial"/>
          <w:szCs w:val="22"/>
        </w:rPr>
        <w:t>Llei</w:t>
      </w:r>
      <w:proofErr w:type="spellEnd"/>
      <w:r w:rsidRPr="00156B65">
        <w:rPr>
          <w:rFonts w:cs="Arial"/>
          <w:szCs w:val="22"/>
        </w:rPr>
        <w:t xml:space="preserve"> de </w:t>
      </w:r>
      <w:proofErr w:type="spellStart"/>
      <w:r w:rsidRPr="00156B65">
        <w:rPr>
          <w:rFonts w:cs="Arial"/>
          <w:szCs w:val="22"/>
        </w:rPr>
        <w:t>Pressupostos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Generals</w:t>
      </w:r>
      <w:proofErr w:type="spellEnd"/>
      <w:r w:rsidRPr="00156B65">
        <w:rPr>
          <w:rFonts w:cs="Arial"/>
          <w:szCs w:val="22"/>
        </w:rPr>
        <w:t xml:space="preserve"> de </w:t>
      </w:r>
      <w:proofErr w:type="spellStart"/>
      <w:r w:rsidRPr="00156B65">
        <w:rPr>
          <w:rFonts w:cs="Arial"/>
          <w:szCs w:val="22"/>
        </w:rPr>
        <w:t>l</w:t>
      </w:r>
      <w:r>
        <w:rPr>
          <w:rFonts w:cs="Arial"/>
          <w:szCs w:val="22"/>
        </w:rPr>
        <w:t>’</w:t>
      </w:r>
      <w:r w:rsidRPr="00156B65">
        <w:rPr>
          <w:rFonts w:cs="Arial"/>
          <w:szCs w:val="22"/>
        </w:rPr>
        <w:t>Estat</w:t>
      </w:r>
      <w:proofErr w:type="spellEnd"/>
      <w:r w:rsidRPr="00156B65">
        <w:rPr>
          <w:rFonts w:cs="Arial"/>
          <w:szCs w:val="22"/>
        </w:rPr>
        <w:t xml:space="preserve"> per a 201</w:t>
      </w:r>
      <w:r>
        <w:rPr>
          <w:rFonts w:cs="Arial"/>
          <w:szCs w:val="22"/>
        </w:rPr>
        <w:t xml:space="preserve">8, </w:t>
      </w:r>
      <w:proofErr w:type="spellStart"/>
      <w:r>
        <w:rPr>
          <w:rFonts w:cs="Arial"/>
          <w:szCs w:val="22"/>
        </w:rPr>
        <w:t>prèvia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apreciació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pel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Ministeri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d’Hisenda</w:t>
      </w:r>
      <w:proofErr w:type="spellEnd"/>
      <w:r>
        <w:rPr>
          <w:rFonts w:cs="Arial"/>
          <w:szCs w:val="22"/>
        </w:rPr>
        <w:t xml:space="preserve"> i </w:t>
      </w:r>
      <w:proofErr w:type="spellStart"/>
      <w:r>
        <w:rPr>
          <w:rFonts w:cs="Arial"/>
          <w:szCs w:val="22"/>
        </w:rPr>
        <w:t>Funció</w:t>
      </w:r>
      <w:proofErr w:type="spellEnd"/>
      <w:r>
        <w:rPr>
          <w:rFonts w:cs="Arial"/>
          <w:szCs w:val="22"/>
        </w:rPr>
        <w:t xml:space="preserve"> Pública de la </w:t>
      </w:r>
      <w:proofErr w:type="spellStart"/>
      <w:r>
        <w:rPr>
          <w:rFonts w:cs="Arial"/>
          <w:szCs w:val="22"/>
        </w:rPr>
        <w:t>concurrència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requisits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legalment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establits</w:t>
      </w:r>
      <w:proofErr w:type="spellEnd"/>
      <w:r>
        <w:rPr>
          <w:rFonts w:cs="Arial"/>
          <w:szCs w:val="22"/>
        </w:rPr>
        <w:t>.</w:t>
      </w:r>
    </w:p>
    <w:p w:rsidR="00867446" w:rsidRDefault="00867446" w:rsidP="00867446">
      <w:pPr>
        <w:rPr>
          <w:rFonts w:cs="Arial"/>
          <w:szCs w:val="22"/>
        </w:rPr>
      </w:pPr>
    </w:p>
    <w:p w:rsidR="00867446" w:rsidRDefault="00867446" w:rsidP="00867446">
      <w:pPr>
        <w:rPr>
          <w:rFonts w:cs="Arial"/>
          <w:szCs w:val="22"/>
        </w:rPr>
      </w:pPr>
      <w:r>
        <w:rPr>
          <w:rFonts w:cs="Arial"/>
          <w:szCs w:val="22"/>
        </w:rPr>
        <w:t xml:space="preserve">El </w:t>
      </w:r>
      <w:proofErr w:type="spellStart"/>
      <w:r>
        <w:rPr>
          <w:rFonts w:cs="Arial"/>
          <w:szCs w:val="22"/>
        </w:rPr>
        <w:t>passat</w:t>
      </w:r>
      <w:proofErr w:type="spellEnd"/>
      <w:r>
        <w:rPr>
          <w:rFonts w:cs="Arial"/>
          <w:szCs w:val="22"/>
        </w:rPr>
        <w:t xml:space="preserve"> 21 de </w:t>
      </w:r>
      <w:proofErr w:type="spellStart"/>
      <w:r>
        <w:rPr>
          <w:rFonts w:cs="Arial"/>
          <w:szCs w:val="22"/>
        </w:rPr>
        <w:t>setembre</w:t>
      </w:r>
      <w:proofErr w:type="spellEnd"/>
      <w:r>
        <w:rPr>
          <w:rFonts w:cs="Arial"/>
          <w:szCs w:val="22"/>
        </w:rPr>
        <w:t xml:space="preserve"> es </w:t>
      </w:r>
      <w:proofErr w:type="spellStart"/>
      <w:r>
        <w:rPr>
          <w:rFonts w:cs="Arial"/>
          <w:szCs w:val="22"/>
        </w:rPr>
        <w:t>publicà</w:t>
      </w:r>
      <w:proofErr w:type="spellEnd"/>
      <w:r>
        <w:rPr>
          <w:rFonts w:cs="Arial"/>
          <w:szCs w:val="22"/>
        </w:rPr>
        <w:t xml:space="preserve"> en el BOE </w:t>
      </w:r>
      <w:proofErr w:type="spellStart"/>
      <w:r>
        <w:rPr>
          <w:rFonts w:cs="Arial"/>
          <w:szCs w:val="22"/>
        </w:rPr>
        <w:t>l’Ordre</w:t>
      </w:r>
      <w:proofErr w:type="spellEnd"/>
      <w:r>
        <w:rPr>
          <w:rFonts w:cs="Arial"/>
          <w:szCs w:val="22"/>
        </w:rPr>
        <w:t xml:space="preserve"> HFP/885/2017, de 19 de </w:t>
      </w:r>
      <w:proofErr w:type="spellStart"/>
      <w:r>
        <w:rPr>
          <w:rFonts w:cs="Arial"/>
          <w:szCs w:val="22"/>
        </w:rPr>
        <w:t>setembre</w:t>
      </w:r>
      <w:proofErr w:type="spellEnd"/>
      <w:r>
        <w:rPr>
          <w:rFonts w:cs="Arial"/>
          <w:szCs w:val="22"/>
        </w:rPr>
        <w:t xml:space="preserve">, per la que </w:t>
      </w:r>
      <w:proofErr w:type="spellStart"/>
      <w:r>
        <w:rPr>
          <w:rFonts w:cs="Arial"/>
          <w:szCs w:val="22"/>
        </w:rPr>
        <w:t>s’estableix</w:t>
      </w:r>
      <w:proofErr w:type="spellEnd"/>
      <w:r>
        <w:rPr>
          <w:rFonts w:cs="Arial"/>
          <w:szCs w:val="22"/>
        </w:rPr>
        <w:t xml:space="preserve"> la </w:t>
      </w:r>
      <w:proofErr w:type="spellStart"/>
      <w:r>
        <w:rPr>
          <w:rFonts w:cs="Arial"/>
          <w:szCs w:val="22"/>
        </w:rPr>
        <w:t>relació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municipis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als</w:t>
      </w:r>
      <w:proofErr w:type="spellEnd"/>
      <w:r>
        <w:rPr>
          <w:rFonts w:cs="Arial"/>
          <w:szCs w:val="22"/>
        </w:rPr>
        <w:t xml:space="preserve"> que resulta </w:t>
      </w:r>
      <w:proofErr w:type="spellStart"/>
      <w:r>
        <w:rPr>
          <w:rFonts w:cs="Arial"/>
          <w:szCs w:val="22"/>
        </w:rPr>
        <w:t>d’aplicació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coeficients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d’actualització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valors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cadastrals</w:t>
      </w:r>
      <w:proofErr w:type="spellEnd"/>
      <w:r>
        <w:rPr>
          <w:rFonts w:cs="Arial"/>
          <w:szCs w:val="22"/>
        </w:rPr>
        <w:t xml:space="preserve"> que </w:t>
      </w:r>
      <w:proofErr w:type="spellStart"/>
      <w:r>
        <w:rPr>
          <w:rFonts w:cs="Arial"/>
          <w:szCs w:val="22"/>
        </w:rPr>
        <w:t>establisca</w:t>
      </w:r>
      <w:proofErr w:type="spellEnd"/>
      <w:r>
        <w:rPr>
          <w:rFonts w:cs="Arial"/>
          <w:szCs w:val="22"/>
        </w:rPr>
        <w:t xml:space="preserve"> la </w:t>
      </w:r>
      <w:proofErr w:type="spellStart"/>
      <w:r>
        <w:rPr>
          <w:rFonts w:cs="Arial"/>
          <w:szCs w:val="22"/>
        </w:rPr>
        <w:t>llei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pressupostos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generals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l’Estat</w:t>
      </w:r>
      <w:proofErr w:type="spellEnd"/>
      <w:r>
        <w:rPr>
          <w:rFonts w:cs="Arial"/>
          <w:szCs w:val="22"/>
        </w:rPr>
        <w:t xml:space="preserve"> per a </w:t>
      </w:r>
      <w:proofErr w:type="spellStart"/>
      <w:r>
        <w:rPr>
          <w:rFonts w:cs="Arial"/>
          <w:szCs w:val="22"/>
        </w:rPr>
        <w:t>l’any</w:t>
      </w:r>
      <w:proofErr w:type="spellEnd"/>
      <w:r>
        <w:rPr>
          <w:rFonts w:cs="Arial"/>
          <w:szCs w:val="22"/>
        </w:rPr>
        <w:t xml:space="preserve"> 2018, </w:t>
      </w:r>
      <w:proofErr w:type="spellStart"/>
      <w:r>
        <w:rPr>
          <w:rFonts w:cs="Arial"/>
          <w:szCs w:val="22"/>
        </w:rPr>
        <w:t>figurant</w:t>
      </w:r>
      <w:proofErr w:type="spellEnd"/>
      <w:r>
        <w:rPr>
          <w:rFonts w:cs="Arial"/>
          <w:szCs w:val="22"/>
        </w:rPr>
        <w:t xml:space="preserve"> en la </w:t>
      </w:r>
      <w:proofErr w:type="spellStart"/>
      <w:r>
        <w:rPr>
          <w:rFonts w:cs="Arial"/>
          <w:szCs w:val="22"/>
        </w:rPr>
        <w:t>mateixa</w:t>
      </w:r>
      <w:proofErr w:type="spellEnd"/>
      <w:r>
        <w:rPr>
          <w:rFonts w:cs="Arial"/>
          <w:szCs w:val="22"/>
        </w:rPr>
        <w:t xml:space="preserve"> el </w:t>
      </w:r>
      <w:proofErr w:type="spellStart"/>
      <w:r>
        <w:rPr>
          <w:rFonts w:cs="Arial"/>
          <w:szCs w:val="22"/>
        </w:rPr>
        <w:t>municipi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d’Alzira</w:t>
      </w:r>
      <w:proofErr w:type="spellEnd"/>
      <w:r>
        <w:rPr>
          <w:rFonts w:cs="Arial"/>
          <w:szCs w:val="22"/>
        </w:rPr>
        <w:t>.</w:t>
      </w:r>
    </w:p>
    <w:p w:rsidR="00867446" w:rsidRDefault="00867446" w:rsidP="00867446">
      <w:pPr>
        <w:rPr>
          <w:rFonts w:cs="Arial"/>
          <w:szCs w:val="22"/>
        </w:rPr>
      </w:pPr>
    </w:p>
    <w:p w:rsidR="00867446" w:rsidRDefault="00867446" w:rsidP="00867446">
      <w:pPr>
        <w:rPr>
          <w:rFonts w:cs="Arial"/>
          <w:szCs w:val="22"/>
        </w:rPr>
      </w:pPr>
      <w:r>
        <w:rPr>
          <w:rFonts w:cs="Arial"/>
          <w:szCs w:val="22"/>
        </w:rPr>
        <w:t xml:space="preserve">Dita </w:t>
      </w:r>
      <w:proofErr w:type="spellStart"/>
      <w:r>
        <w:rPr>
          <w:rFonts w:cs="Arial"/>
          <w:szCs w:val="22"/>
        </w:rPr>
        <w:t>Ordre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s’emet</w:t>
      </w:r>
      <w:proofErr w:type="spellEnd"/>
      <w:r>
        <w:rPr>
          <w:rFonts w:cs="Arial"/>
          <w:szCs w:val="22"/>
        </w:rPr>
        <w:t xml:space="preserve"> a </w:t>
      </w:r>
      <w:proofErr w:type="spellStart"/>
      <w:r>
        <w:rPr>
          <w:rFonts w:cs="Arial"/>
          <w:szCs w:val="22"/>
        </w:rPr>
        <w:t>l’empar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l’apartat</w:t>
      </w:r>
      <w:proofErr w:type="spellEnd"/>
      <w:r>
        <w:rPr>
          <w:rFonts w:cs="Arial"/>
          <w:szCs w:val="22"/>
        </w:rPr>
        <w:t xml:space="preserve"> 2 de </w:t>
      </w:r>
      <w:proofErr w:type="spellStart"/>
      <w:r>
        <w:rPr>
          <w:rFonts w:cs="Arial"/>
          <w:szCs w:val="22"/>
        </w:rPr>
        <w:t>l’article</w:t>
      </w:r>
      <w:proofErr w:type="spellEnd"/>
      <w:r>
        <w:rPr>
          <w:rFonts w:cs="Arial"/>
          <w:szCs w:val="22"/>
        </w:rPr>
        <w:t xml:space="preserve"> 32 del </w:t>
      </w:r>
      <w:proofErr w:type="spellStart"/>
      <w:r>
        <w:rPr>
          <w:rFonts w:cs="Arial"/>
          <w:szCs w:val="22"/>
        </w:rPr>
        <w:t>text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refós</w:t>
      </w:r>
      <w:proofErr w:type="spellEnd"/>
      <w:r>
        <w:rPr>
          <w:rFonts w:cs="Arial"/>
          <w:szCs w:val="22"/>
        </w:rPr>
        <w:t xml:space="preserve"> de la </w:t>
      </w:r>
      <w:proofErr w:type="spellStart"/>
      <w:r>
        <w:rPr>
          <w:rFonts w:cs="Arial"/>
          <w:szCs w:val="22"/>
        </w:rPr>
        <w:t>Llei</w:t>
      </w:r>
      <w:proofErr w:type="spellEnd"/>
      <w:r>
        <w:rPr>
          <w:rFonts w:cs="Arial"/>
          <w:szCs w:val="22"/>
        </w:rPr>
        <w:t xml:space="preserve"> del </w:t>
      </w:r>
      <w:proofErr w:type="spellStart"/>
      <w:r>
        <w:rPr>
          <w:rFonts w:cs="Arial"/>
          <w:szCs w:val="22"/>
        </w:rPr>
        <w:t>Cadastre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Immobiliari</w:t>
      </w:r>
      <w:proofErr w:type="spellEnd"/>
      <w:r>
        <w:rPr>
          <w:rFonts w:cs="Arial"/>
          <w:szCs w:val="22"/>
        </w:rPr>
        <w:t xml:space="preserve">, que </w:t>
      </w:r>
      <w:proofErr w:type="spellStart"/>
      <w:r>
        <w:rPr>
          <w:rFonts w:cs="Arial"/>
          <w:szCs w:val="22"/>
        </w:rPr>
        <w:t>disposa</w:t>
      </w:r>
      <w:proofErr w:type="spellEnd"/>
      <w:r>
        <w:rPr>
          <w:rFonts w:cs="Arial"/>
          <w:szCs w:val="22"/>
        </w:rPr>
        <w:t xml:space="preserve"> que les </w:t>
      </w:r>
      <w:proofErr w:type="spellStart"/>
      <w:r>
        <w:rPr>
          <w:rFonts w:cs="Arial"/>
          <w:szCs w:val="22"/>
        </w:rPr>
        <w:t>lleis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pressupostos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generals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l’Estat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podran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actualitzar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valors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cadastrals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immobles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urbans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d’un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mateix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municipi</w:t>
      </w:r>
      <w:proofErr w:type="spellEnd"/>
      <w:r>
        <w:rPr>
          <w:rFonts w:cs="Arial"/>
          <w:szCs w:val="22"/>
        </w:rPr>
        <w:t xml:space="preserve"> per </w:t>
      </w:r>
      <w:proofErr w:type="spellStart"/>
      <w:r>
        <w:rPr>
          <w:rFonts w:cs="Arial"/>
          <w:szCs w:val="22"/>
        </w:rPr>
        <w:t>aplicació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coeficients</w:t>
      </w:r>
      <w:proofErr w:type="spellEnd"/>
      <w:r>
        <w:rPr>
          <w:rFonts w:cs="Arial"/>
          <w:szCs w:val="22"/>
        </w:rPr>
        <w:t xml:space="preserve"> en </w:t>
      </w:r>
      <w:proofErr w:type="spellStart"/>
      <w:r>
        <w:rPr>
          <w:rFonts w:cs="Arial"/>
          <w:szCs w:val="22"/>
        </w:rPr>
        <w:t>funció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l’any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d’entrada</w:t>
      </w:r>
      <w:proofErr w:type="spellEnd"/>
      <w:r>
        <w:rPr>
          <w:rFonts w:cs="Arial"/>
          <w:szCs w:val="22"/>
        </w:rPr>
        <w:t xml:space="preserve"> en vigor de la </w:t>
      </w:r>
      <w:proofErr w:type="spellStart"/>
      <w:r>
        <w:rPr>
          <w:rFonts w:cs="Arial"/>
          <w:szCs w:val="22"/>
        </w:rPr>
        <w:t>corresponent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ponència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valors</w:t>
      </w:r>
      <w:proofErr w:type="spellEnd"/>
      <w:r>
        <w:rPr>
          <w:rFonts w:cs="Arial"/>
          <w:szCs w:val="22"/>
        </w:rPr>
        <w:t xml:space="preserve"> del </w:t>
      </w:r>
      <w:proofErr w:type="spellStart"/>
      <w:r>
        <w:rPr>
          <w:rFonts w:cs="Arial"/>
          <w:szCs w:val="22"/>
        </w:rPr>
        <w:t>municipi</w:t>
      </w:r>
      <w:proofErr w:type="spellEnd"/>
      <w:r>
        <w:rPr>
          <w:rFonts w:cs="Arial"/>
          <w:szCs w:val="22"/>
        </w:rPr>
        <w:t>.</w:t>
      </w:r>
    </w:p>
    <w:p w:rsidR="00867446" w:rsidRDefault="00867446" w:rsidP="00867446">
      <w:pPr>
        <w:rPr>
          <w:rFonts w:cs="Arial"/>
          <w:szCs w:val="22"/>
        </w:rPr>
      </w:pPr>
    </w:p>
    <w:p w:rsidR="00867446" w:rsidRDefault="00867446" w:rsidP="00867446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Finalment</w:t>
      </w:r>
      <w:proofErr w:type="spellEnd"/>
      <w:r>
        <w:rPr>
          <w:rFonts w:cs="Arial"/>
          <w:szCs w:val="22"/>
        </w:rPr>
        <w:t xml:space="preserve">, en el BOE del </w:t>
      </w:r>
      <w:proofErr w:type="spellStart"/>
      <w:r>
        <w:rPr>
          <w:rFonts w:cs="Arial"/>
          <w:szCs w:val="22"/>
        </w:rPr>
        <w:t>dissabte</w:t>
      </w:r>
      <w:proofErr w:type="spellEnd"/>
      <w:r>
        <w:rPr>
          <w:rFonts w:cs="Arial"/>
          <w:szCs w:val="22"/>
        </w:rPr>
        <w:t xml:space="preserve"> 30 de desembre, </w:t>
      </w:r>
      <w:proofErr w:type="spellStart"/>
      <w:r>
        <w:rPr>
          <w:rFonts w:cs="Arial"/>
          <w:szCs w:val="22"/>
        </w:rPr>
        <w:t>s’ha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publicat</w:t>
      </w:r>
      <w:proofErr w:type="spellEnd"/>
      <w:r>
        <w:rPr>
          <w:rFonts w:cs="Arial"/>
          <w:szCs w:val="22"/>
        </w:rPr>
        <w:t xml:space="preserve"> el </w:t>
      </w:r>
      <w:proofErr w:type="spellStart"/>
      <w:r>
        <w:rPr>
          <w:rFonts w:cs="Arial"/>
          <w:szCs w:val="22"/>
        </w:rPr>
        <w:t>Reial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Decret-llei</w:t>
      </w:r>
      <w:proofErr w:type="spellEnd"/>
      <w:r>
        <w:rPr>
          <w:rFonts w:cs="Arial"/>
          <w:szCs w:val="22"/>
        </w:rPr>
        <w:t xml:space="preserve"> 20/2017, de 29 de desembre, </w:t>
      </w:r>
      <w:proofErr w:type="spellStart"/>
      <w:r>
        <w:rPr>
          <w:rFonts w:cs="Arial"/>
          <w:szCs w:val="22"/>
        </w:rPr>
        <w:t>pel</w:t>
      </w:r>
      <w:proofErr w:type="spellEnd"/>
      <w:r>
        <w:rPr>
          <w:rFonts w:cs="Arial"/>
          <w:szCs w:val="22"/>
        </w:rPr>
        <w:t xml:space="preserve"> que es prorroguen i </w:t>
      </w:r>
      <w:proofErr w:type="spellStart"/>
      <w:r>
        <w:rPr>
          <w:rFonts w:cs="Arial"/>
          <w:szCs w:val="22"/>
        </w:rPr>
        <w:t>aproven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diverses</w:t>
      </w:r>
      <w:proofErr w:type="spellEnd"/>
      <w:r>
        <w:rPr>
          <w:rFonts w:cs="Arial"/>
          <w:szCs w:val="22"/>
        </w:rPr>
        <w:t xml:space="preserve"> mesures </w:t>
      </w:r>
      <w:proofErr w:type="spellStart"/>
      <w:r>
        <w:rPr>
          <w:rFonts w:cs="Arial"/>
          <w:szCs w:val="22"/>
        </w:rPr>
        <w:t>tributàries</w:t>
      </w:r>
      <w:proofErr w:type="spellEnd"/>
      <w:r>
        <w:rPr>
          <w:rFonts w:cs="Arial"/>
          <w:szCs w:val="22"/>
        </w:rPr>
        <w:t xml:space="preserve"> i </w:t>
      </w:r>
      <w:proofErr w:type="spellStart"/>
      <w:r>
        <w:rPr>
          <w:rFonts w:cs="Arial"/>
          <w:szCs w:val="22"/>
        </w:rPr>
        <w:t>altres</w:t>
      </w:r>
      <w:proofErr w:type="spellEnd"/>
      <w:r>
        <w:rPr>
          <w:rFonts w:cs="Arial"/>
          <w:szCs w:val="22"/>
        </w:rPr>
        <w:t xml:space="preserve"> mesures </w:t>
      </w:r>
      <w:proofErr w:type="spellStart"/>
      <w:r>
        <w:rPr>
          <w:rFonts w:cs="Arial"/>
          <w:szCs w:val="22"/>
        </w:rPr>
        <w:t>urgents</w:t>
      </w:r>
      <w:proofErr w:type="spellEnd"/>
      <w:r>
        <w:rPr>
          <w:rFonts w:cs="Arial"/>
          <w:szCs w:val="22"/>
        </w:rPr>
        <w:t xml:space="preserve"> en </w:t>
      </w:r>
      <w:proofErr w:type="spellStart"/>
      <w:r>
        <w:rPr>
          <w:rFonts w:cs="Arial"/>
          <w:szCs w:val="22"/>
        </w:rPr>
        <w:t>matèria</w:t>
      </w:r>
      <w:proofErr w:type="spellEnd"/>
      <w:r>
        <w:rPr>
          <w:rFonts w:cs="Arial"/>
          <w:szCs w:val="22"/>
        </w:rPr>
        <w:t xml:space="preserve"> social. El </w:t>
      </w:r>
      <w:proofErr w:type="spellStart"/>
      <w:r>
        <w:rPr>
          <w:rFonts w:cs="Arial"/>
          <w:szCs w:val="22"/>
        </w:rPr>
        <w:t>seu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article</w:t>
      </w:r>
      <w:proofErr w:type="spellEnd"/>
      <w:r>
        <w:rPr>
          <w:rFonts w:cs="Arial"/>
          <w:szCs w:val="22"/>
        </w:rPr>
        <w:t xml:space="preserve"> 1 </w:t>
      </w:r>
      <w:proofErr w:type="spellStart"/>
      <w:r>
        <w:rPr>
          <w:rFonts w:cs="Arial"/>
          <w:szCs w:val="22"/>
        </w:rPr>
        <w:t>estableix</w:t>
      </w:r>
      <w:proofErr w:type="spellEnd"/>
      <w:r>
        <w:rPr>
          <w:rFonts w:cs="Arial"/>
          <w:szCs w:val="22"/>
        </w:rPr>
        <w:t xml:space="preserve"> que el </w:t>
      </w:r>
      <w:proofErr w:type="spellStart"/>
      <w:r>
        <w:rPr>
          <w:rFonts w:cs="Arial"/>
          <w:szCs w:val="22"/>
        </w:rPr>
        <w:t>coeficient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d’actualització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valors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cadastrals</w:t>
      </w:r>
      <w:proofErr w:type="spellEnd"/>
      <w:r>
        <w:rPr>
          <w:rFonts w:cs="Arial"/>
          <w:szCs w:val="22"/>
        </w:rPr>
        <w:t xml:space="preserve"> queda </w:t>
      </w:r>
      <w:proofErr w:type="spellStart"/>
      <w:r>
        <w:rPr>
          <w:rFonts w:cs="Arial"/>
          <w:szCs w:val="22"/>
        </w:rPr>
        <w:t>fixat</w:t>
      </w:r>
      <w:proofErr w:type="spellEnd"/>
      <w:r>
        <w:rPr>
          <w:rFonts w:cs="Arial"/>
          <w:szCs w:val="22"/>
        </w:rPr>
        <w:t xml:space="preserve"> en el 0,96 a </w:t>
      </w:r>
      <w:proofErr w:type="spellStart"/>
      <w:r>
        <w:rPr>
          <w:rFonts w:cs="Arial"/>
          <w:szCs w:val="22"/>
        </w:rPr>
        <w:t>l’haver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entrat</w:t>
      </w:r>
      <w:proofErr w:type="spellEnd"/>
      <w:r>
        <w:rPr>
          <w:rFonts w:cs="Arial"/>
          <w:szCs w:val="22"/>
        </w:rPr>
        <w:t xml:space="preserve"> en vigor la </w:t>
      </w:r>
      <w:proofErr w:type="spellStart"/>
      <w:r>
        <w:rPr>
          <w:rFonts w:cs="Arial"/>
          <w:szCs w:val="22"/>
        </w:rPr>
        <w:t>ponència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valors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d’Alzira</w:t>
      </w:r>
      <w:proofErr w:type="spellEnd"/>
      <w:r>
        <w:rPr>
          <w:rFonts w:cs="Arial"/>
          <w:szCs w:val="22"/>
        </w:rPr>
        <w:t xml:space="preserve"> en </w:t>
      </w:r>
      <w:proofErr w:type="spellStart"/>
      <w:r>
        <w:rPr>
          <w:rFonts w:cs="Arial"/>
          <w:szCs w:val="22"/>
        </w:rPr>
        <w:t>l’any</w:t>
      </w:r>
      <w:proofErr w:type="spellEnd"/>
      <w:r>
        <w:rPr>
          <w:rFonts w:cs="Arial"/>
          <w:szCs w:val="22"/>
        </w:rPr>
        <w:t xml:space="preserve"> 2005.</w:t>
      </w:r>
    </w:p>
    <w:p w:rsidR="00867446" w:rsidRDefault="00867446" w:rsidP="00867446">
      <w:pPr>
        <w:rPr>
          <w:rFonts w:cs="Arial"/>
          <w:szCs w:val="22"/>
        </w:rPr>
      </w:pPr>
    </w:p>
    <w:p w:rsidR="00867446" w:rsidRDefault="00867446" w:rsidP="00867446">
      <w:pPr>
        <w:rPr>
          <w:rFonts w:cs="Arial"/>
          <w:szCs w:val="22"/>
        </w:rPr>
      </w:pPr>
      <w:proofErr w:type="spellStart"/>
      <w:r w:rsidRPr="00156B65">
        <w:rPr>
          <w:rFonts w:cs="Arial"/>
          <w:szCs w:val="22"/>
        </w:rPr>
        <w:t>L'anterior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coeficient</w:t>
      </w:r>
      <w:proofErr w:type="spellEnd"/>
      <w:r w:rsidRPr="00156B65">
        <w:rPr>
          <w:rFonts w:cs="Arial"/>
          <w:szCs w:val="22"/>
        </w:rPr>
        <w:t xml:space="preserve"> representa una </w:t>
      </w:r>
      <w:proofErr w:type="spellStart"/>
      <w:r w:rsidRPr="00156B65">
        <w:rPr>
          <w:rFonts w:cs="Arial"/>
          <w:szCs w:val="22"/>
        </w:rPr>
        <w:t>disminució</w:t>
      </w:r>
      <w:proofErr w:type="spellEnd"/>
      <w:r w:rsidRPr="00156B65">
        <w:rPr>
          <w:rFonts w:cs="Arial"/>
          <w:szCs w:val="22"/>
        </w:rPr>
        <w:t xml:space="preserve"> de </w:t>
      </w:r>
      <w:r>
        <w:rPr>
          <w:rFonts w:cs="Arial"/>
          <w:szCs w:val="22"/>
        </w:rPr>
        <w:t>4</w:t>
      </w:r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punts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percentuals</w:t>
      </w:r>
      <w:proofErr w:type="spellEnd"/>
      <w:r w:rsidRPr="00156B65">
        <w:rPr>
          <w:rFonts w:cs="Arial"/>
          <w:szCs w:val="22"/>
        </w:rPr>
        <w:t xml:space="preserve"> de les bases </w:t>
      </w:r>
      <w:proofErr w:type="spellStart"/>
      <w:r w:rsidRPr="00156B65">
        <w:rPr>
          <w:rFonts w:cs="Arial"/>
          <w:szCs w:val="22"/>
        </w:rPr>
        <w:t>imposables</w:t>
      </w:r>
      <w:proofErr w:type="spellEnd"/>
      <w:r w:rsidRPr="00156B65">
        <w:rPr>
          <w:rFonts w:cs="Arial"/>
          <w:szCs w:val="22"/>
        </w:rPr>
        <w:t xml:space="preserve"> de </w:t>
      </w:r>
      <w:proofErr w:type="spellStart"/>
      <w:r w:rsidRPr="00156B65">
        <w:rPr>
          <w:rFonts w:cs="Arial"/>
          <w:szCs w:val="22"/>
        </w:rPr>
        <w:t>l'IBI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d'urbana</w:t>
      </w:r>
      <w:proofErr w:type="spellEnd"/>
      <w:r w:rsidRPr="00156B65">
        <w:rPr>
          <w:rFonts w:cs="Arial"/>
          <w:szCs w:val="22"/>
        </w:rPr>
        <w:t xml:space="preserve"> de les rendes imputables en </w:t>
      </w:r>
      <w:proofErr w:type="spellStart"/>
      <w:r w:rsidRPr="00156B65">
        <w:rPr>
          <w:rFonts w:cs="Arial"/>
          <w:szCs w:val="22"/>
        </w:rPr>
        <w:t>l'impost</w:t>
      </w:r>
      <w:proofErr w:type="spellEnd"/>
      <w:r w:rsidRPr="00156B65">
        <w:rPr>
          <w:rFonts w:cs="Arial"/>
          <w:szCs w:val="22"/>
        </w:rPr>
        <w:t xml:space="preserve"> sobre la renda de les persones </w:t>
      </w:r>
      <w:proofErr w:type="spellStart"/>
      <w:r w:rsidRPr="00156B65">
        <w:rPr>
          <w:rFonts w:cs="Arial"/>
          <w:szCs w:val="22"/>
        </w:rPr>
        <w:t>físiques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dels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béns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urbans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situats</w:t>
      </w:r>
      <w:proofErr w:type="spellEnd"/>
      <w:r w:rsidRPr="00156B65">
        <w:rPr>
          <w:rFonts w:cs="Arial"/>
          <w:szCs w:val="22"/>
        </w:rPr>
        <w:t xml:space="preserve"> a </w:t>
      </w:r>
      <w:proofErr w:type="spellStart"/>
      <w:r w:rsidRPr="00156B65">
        <w:rPr>
          <w:rFonts w:cs="Arial"/>
          <w:szCs w:val="22"/>
        </w:rPr>
        <w:t>Alzira</w:t>
      </w:r>
      <w:proofErr w:type="spellEnd"/>
      <w:r w:rsidRPr="00156B65">
        <w:rPr>
          <w:rFonts w:cs="Arial"/>
          <w:szCs w:val="22"/>
        </w:rPr>
        <w:t xml:space="preserve"> a </w:t>
      </w:r>
      <w:proofErr w:type="spellStart"/>
      <w:r w:rsidRPr="00156B65">
        <w:rPr>
          <w:rFonts w:cs="Arial"/>
          <w:szCs w:val="22"/>
        </w:rPr>
        <w:t>disposició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dels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seus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propietaris</w:t>
      </w:r>
      <w:proofErr w:type="spellEnd"/>
      <w:r w:rsidRPr="00156B65">
        <w:rPr>
          <w:rFonts w:cs="Arial"/>
          <w:szCs w:val="22"/>
        </w:rPr>
        <w:t xml:space="preserve">, i de </w:t>
      </w:r>
      <w:proofErr w:type="spellStart"/>
      <w:r w:rsidRPr="00156B65">
        <w:rPr>
          <w:rFonts w:cs="Arial"/>
          <w:szCs w:val="22"/>
        </w:rPr>
        <w:t>l'impost</w:t>
      </w:r>
      <w:proofErr w:type="spellEnd"/>
      <w:r w:rsidRPr="00156B65">
        <w:rPr>
          <w:rFonts w:cs="Arial"/>
          <w:szCs w:val="22"/>
        </w:rPr>
        <w:t xml:space="preserve"> de plus </w:t>
      </w:r>
      <w:proofErr w:type="spellStart"/>
      <w:r w:rsidRPr="00156B65">
        <w:rPr>
          <w:rFonts w:cs="Arial"/>
          <w:szCs w:val="22"/>
        </w:rPr>
        <w:t>vàlua</w:t>
      </w:r>
      <w:proofErr w:type="spellEnd"/>
      <w:r w:rsidRPr="00156B65">
        <w:rPr>
          <w:rFonts w:cs="Arial"/>
          <w:szCs w:val="22"/>
        </w:rPr>
        <w:t xml:space="preserve"> el </w:t>
      </w:r>
      <w:proofErr w:type="spellStart"/>
      <w:r w:rsidRPr="00156B65">
        <w:rPr>
          <w:rFonts w:cs="Arial"/>
          <w:szCs w:val="22"/>
        </w:rPr>
        <w:t>fet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imposable</w:t>
      </w:r>
      <w:proofErr w:type="spellEnd"/>
      <w:r w:rsidRPr="00156B65">
        <w:rPr>
          <w:rFonts w:cs="Arial"/>
          <w:szCs w:val="22"/>
        </w:rPr>
        <w:t xml:space="preserve"> del </w:t>
      </w:r>
      <w:proofErr w:type="spellStart"/>
      <w:r w:rsidRPr="00156B65">
        <w:rPr>
          <w:rFonts w:cs="Arial"/>
          <w:szCs w:val="22"/>
        </w:rPr>
        <w:t>qual</w:t>
      </w:r>
      <w:proofErr w:type="spellEnd"/>
      <w:r w:rsidRPr="00156B65">
        <w:rPr>
          <w:rFonts w:cs="Arial"/>
          <w:szCs w:val="22"/>
        </w:rPr>
        <w:t xml:space="preserve"> es </w:t>
      </w:r>
      <w:proofErr w:type="spellStart"/>
      <w:r w:rsidRPr="00156B65">
        <w:rPr>
          <w:rFonts w:cs="Arial"/>
          <w:szCs w:val="22"/>
        </w:rPr>
        <w:t>produïsca</w:t>
      </w:r>
      <w:proofErr w:type="spellEnd"/>
      <w:r w:rsidRPr="00156B65">
        <w:rPr>
          <w:rFonts w:cs="Arial"/>
          <w:szCs w:val="22"/>
        </w:rPr>
        <w:t xml:space="preserve"> en el </w:t>
      </w:r>
      <w:proofErr w:type="spellStart"/>
      <w:r w:rsidRPr="00156B65">
        <w:rPr>
          <w:rFonts w:cs="Arial"/>
          <w:szCs w:val="22"/>
        </w:rPr>
        <w:t>pròxim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exercici</w:t>
      </w:r>
      <w:proofErr w:type="spellEnd"/>
      <w:r w:rsidRPr="00156B65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I </w:t>
      </w:r>
      <w:proofErr w:type="spellStart"/>
      <w:r>
        <w:rPr>
          <w:rFonts w:cs="Arial"/>
          <w:szCs w:val="22"/>
        </w:rPr>
        <w:t>s’afegix</w:t>
      </w:r>
      <w:proofErr w:type="spellEnd"/>
      <w:r>
        <w:rPr>
          <w:rFonts w:cs="Arial"/>
          <w:szCs w:val="22"/>
        </w:rPr>
        <w:t xml:space="preserve"> al </w:t>
      </w:r>
      <w:proofErr w:type="spellStart"/>
      <w:r>
        <w:rPr>
          <w:rFonts w:cs="Arial"/>
          <w:szCs w:val="22"/>
        </w:rPr>
        <w:t>aconseguit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l’any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passat</w:t>
      </w:r>
      <w:proofErr w:type="spellEnd"/>
      <w:r>
        <w:rPr>
          <w:rFonts w:cs="Arial"/>
          <w:szCs w:val="22"/>
        </w:rPr>
        <w:t xml:space="preserve"> de 8 </w:t>
      </w:r>
      <w:proofErr w:type="spellStart"/>
      <w:r>
        <w:rPr>
          <w:rFonts w:cs="Arial"/>
          <w:szCs w:val="22"/>
        </w:rPr>
        <w:t>punts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percentuals</w:t>
      </w:r>
      <w:proofErr w:type="spellEnd"/>
      <w:r>
        <w:rPr>
          <w:rFonts w:cs="Arial"/>
          <w:szCs w:val="22"/>
        </w:rPr>
        <w:t xml:space="preserve">. Es a </w:t>
      </w:r>
      <w:proofErr w:type="spellStart"/>
      <w:r>
        <w:rPr>
          <w:rFonts w:cs="Arial"/>
          <w:szCs w:val="22"/>
        </w:rPr>
        <w:t>dir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gràcies</w:t>
      </w:r>
      <w:proofErr w:type="spellEnd"/>
      <w:r>
        <w:rPr>
          <w:rFonts w:cs="Arial"/>
          <w:szCs w:val="22"/>
        </w:rPr>
        <w:t xml:space="preserve"> a </w:t>
      </w:r>
      <w:proofErr w:type="spellStart"/>
      <w:r>
        <w:rPr>
          <w:rFonts w:cs="Arial"/>
          <w:szCs w:val="22"/>
        </w:rPr>
        <w:t>l’acció</w:t>
      </w:r>
      <w:proofErr w:type="spellEnd"/>
      <w:r>
        <w:rPr>
          <w:rFonts w:cs="Arial"/>
          <w:szCs w:val="22"/>
        </w:rPr>
        <w:t xml:space="preserve"> del </w:t>
      </w:r>
      <w:proofErr w:type="spellStart"/>
      <w:r>
        <w:rPr>
          <w:rFonts w:cs="Arial"/>
          <w:szCs w:val="22"/>
        </w:rPr>
        <w:t>govern</w:t>
      </w:r>
      <w:proofErr w:type="spellEnd"/>
      <w:r>
        <w:rPr>
          <w:rFonts w:cs="Arial"/>
          <w:szCs w:val="22"/>
        </w:rPr>
        <w:t xml:space="preserve"> municipal, </w:t>
      </w:r>
      <w:proofErr w:type="spellStart"/>
      <w:r>
        <w:rPr>
          <w:rFonts w:cs="Arial"/>
          <w:szCs w:val="22"/>
        </w:rPr>
        <w:t>s’han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rebaixat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valors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cadastrals</w:t>
      </w:r>
      <w:proofErr w:type="spellEnd"/>
      <w:r>
        <w:rPr>
          <w:rFonts w:cs="Arial"/>
          <w:szCs w:val="22"/>
        </w:rPr>
        <w:t xml:space="preserve"> un total del 12 per cent.</w:t>
      </w:r>
    </w:p>
    <w:p w:rsidR="00867446" w:rsidRDefault="00867446" w:rsidP="00867446">
      <w:pPr>
        <w:rPr>
          <w:rFonts w:cs="Arial"/>
          <w:szCs w:val="22"/>
        </w:rPr>
      </w:pPr>
    </w:p>
    <w:p w:rsidR="00867446" w:rsidRDefault="00867446" w:rsidP="00867446">
      <w:pPr>
        <w:rPr>
          <w:rFonts w:cs="Arial"/>
          <w:szCs w:val="22"/>
        </w:rPr>
      </w:pPr>
      <w:r>
        <w:rPr>
          <w:rFonts w:cs="Arial"/>
          <w:szCs w:val="22"/>
        </w:rPr>
        <w:t xml:space="preserve">Este </w:t>
      </w:r>
      <w:proofErr w:type="spellStart"/>
      <w:r>
        <w:rPr>
          <w:rFonts w:cs="Arial"/>
          <w:szCs w:val="22"/>
        </w:rPr>
        <w:t>fet</w:t>
      </w:r>
      <w:proofErr w:type="spellEnd"/>
      <w:r>
        <w:rPr>
          <w:rFonts w:cs="Arial"/>
          <w:szCs w:val="22"/>
        </w:rPr>
        <w:t xml:space="preserve"> fa que entre en </w:t>
      </w:r>
      <w:proofErr w:type="spellStart"/>
      <w:r>
        <w:rPr>
          <w:rFonts w:cs="Arial"/>
          <w:szCs w:val="22"/>
        </w:rPr>
        <w:t>joc</w:t>
      </w:r>
      <w:proofErr w:type="spellEnd"/>
      <w:r>
        <w:rPr>
          <w:rFonts w:cs="Arial"/>
          <w:szCs w:val="22"/>
        </w:rPr>
        <w:t xml:space="preserve"> </w:t>
      </w:r>
      <w:r w:rsidRPr="00156B65">
        <w:rPr>
          <w:rFonts w:cs="Arial"/>
          <w:szCs w:val="22"/>
        </w:rPr>
        <w:t xml:space="preserve">la </w:t>
      </w:r>
      <w:proofErr w:type="spellStart"/>
      <w:r w:rsidRPr="00156B65">
        <w:rPr>
          <w:rFonts w:cs="Arial"/>
          <w:szCs w:val="22"/>
        </w:rPr>
        <w:t>disposició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addicional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tretzena</w:t>
      </w:r>
      <w:proofErr w:type="spellEnd"/>
      <w:r w:rsidRPr="00156B65">
        <w:rPr>
          <w:rFonts w:cs="Arial"/>
          <w:szCs w:val="22"/>
        </w:rPr>
        <w:t xml:space="preserve"> del TRLRHL</w:t>
      </w:r>
      <w:r>
        <w:rPr>
          <w:rFonts w:cs="Arial"/>
          <w:szCs w:val="22"/>
        </w:rPr>
        <w:t xml:space="preserve"> titulada «</w:t>
      </w:r>
      <w:proofErr w:type="spellStart"/>
      <w:r w:rsidRPr="00E27EB2">
        <w:rPr>
          <w:rFonts w:cs="Arial"/>
          <w:szCs w:val="22"/>
        </w:rPr>
        <w:t>Adequació</w:t>
      </w:r>
      <w:proofErr w:type="spellEnd"/>
      <w:r w:rsidRPr="00E27EB2">
        <w:rPr>
          <w:rFonts w:cs="Arial"/>
          <w:szCs w:val="22"/>
        </w:rPr>
        <w:t xml:space="preserve"> de </w:t>
      </w:r>
      <w:proofErr w:type="spellStart"/>
      <w:r w:rsidRPr="00E27EB2">
        <w:rPr>
          <w:rFonts w:cs="Arial"/>
          <w:szCs w:val="22"/>
        </w:rPr>
        <w:t>l'ordenança</w:t>
      </w:r>
      <w:proofErr w:type="spellEnd"/>
      <w:r w:rsidRPr="00E27EB2">
        <w:rPr>
          <w:rFonts w:cs="Arial"/>
          <w:szCs w:val="22"/>
        </w:rPr>
        <w:t xml:space="preserve"> fiscal </w:t>
      </w:r>
      <w:proofErr w:type="spellStart"/>
      <w:r w:rsidRPr="00E27EB2">
        <w:rPr>
          <w:rFonts w:cs="Arial"/>
          <w:szCs w:val="22"/>
        </w:rPr>
        <w:t>als</w:t>
      </w:r>
      <w:proofErr w:type="spellEnd"/>
      <w:r w:rsidRPr="00E27EB2">
        <w:rPr>
          <w:rFonts w:cs="Arial"/>
          <w:szCs w:val="22"/>
        </w:rPr>
        <w:t xml:space="preserve"> </w:t>
      </w:r>
      <w:proofErr w:type="spellStart"/>
      <w:r w:rsidRPr="00E27EB2">
        <w:rPr>
          <w:rFonts w:cs="Arial"/>
          <w:szCs w:val="22"/>
        </w:rPr>
        <w:t>coeficients</w:t>
      </w:r>
      <w:proofErr w:type="spellEnd"/>
      <w:r w:rsidRPr="00E27EB2">
        <w:rPr>
          <w:rFonts w:cs="Arial"/>
          <w:szCs w:val="22"/>
        </w:rPr>
        <w:t xml:space="preserve"> previstos en </w:t>
      </w:r>
      <w:proofErr w:type="spellStart"/>
      <w:r w:rsidRPr="00E27EB2">
        <w:rPr>
          <w:rFonts w:cs="Arial"/>
          <w:szCs w:val="22"/>
        </w:rPr>
        <w:t>l'article</w:t>
      </w:r>
      <w:proofErr w:type="spellEnd"/>
      <w:r w:rsidRPr="00E27EB2">
        <w:rPr>
          <w:rFonts w:cs="Arial"/>
          <w:szCs w:val="22"/>
        </w:rPr>
        <w:t xml:space="preserve"> 32.2 del </w:t>
      </w:r>
      <w:proofErr w:type="spellStart"/>
      <w:r w:rsidRPr="00E27EB2">
        <w:rPr>
          <w:rFonts w:cs="Arial"/>
          <w:szCs w:val="22"/>
        </w:rPr>
        <w:t>Text</w:t>
      </w:r>
      <w:proofErr w:type="spellEnd"/>
      <w:r w:rsidRPr="00E27EB2">
        <w:rPr>
          <w:rFonts w:cs="Arial"/>
          <w:szCs w:val="22"/>
        </w:rPr>
        <w:t xml:space="preserve"> </w:t>
      </w:r>
      <w:proofErr w:type="spellStart"/>
      <w:r w:rsidRPr="00E27EB2">
        <w:rPr>
          <w:rFonts w:cs="Arial"/>
          <w:szCs w:val="22"/>
        </w:rPr>
        <w:t>Refós</w:t>
      </w:r>
      <w:proofErr w:type="spellEnd"/>
      <w:r w:rsidRPr="00E27EB2">
        <w:rPr>
          <w:rFonts w:cs="Arial"/>
          <w:szCs w:val="22"/>
        </w:rPr>
        <w:t xml:space="preserve"> de la </w:t>
      </w:r>
      <w:proofErr w:type="spellStart"/>
      <w:r w:rsidRPr="00E27EB2">
        <w:rPr>
          <w:rFonts w:cs="Arial"/>
          <w:szCs w:val="22"/>
        </w:rPr>
        <w:t>Llei</w:t>
      </w:r>
      <w:proofErr w:type="spellEnd"/>
      <w:r w:rsidRPr="00E27EB2">
        <w:rPr>
          <w:rFonts w:cs="Arial"/>
          <w:szCs w:val="22"/>
        </w:rPr>
        <w:t xml:space="preserve"> del </w:t>
      </w:r>
      <w:proofErr w:type="spellStart"/>
      <w:r w:rsidRPr="00E27EB2">
        <w:rPr>
          <w:rFonts w:cs="Arial"/>
          <w:szCs w:val="22"/>
        </w:rPr>
        <w:t>Cadastre</w:t>
      </w:r>
      <w:proofErr w:type="spellEnd"/>
      <w:r w:rsidRPr="00E27EB2">
        <w:rPr>
          <w:rFonts w:cs="Arial"/>
          <w:szCs w:val="22"/>
        </w:rPr>
        <w:t xml:space="preserve"> </w:t>
      </w:r>
      <w:proofErr w:type="spellStart"/>
      <w:r w:rsidRPr="00E27EB2">
        <w:rPr>
          <w:rFonts w:cs="Arial"/>
          <w:szCs w:val="22"/>
        </w:rPr>
        <w:t>Immobiliari</w:t>
      </w:r>
      <w:proofErr w:type="spellEnd"/>
      <w:r>
        <w:rPr>
          <w:rFonts w:cs="Arial"/>
          <w:szCs w:val="22"/>
        </w:rPr>
        <w:t xml:space="preserve">», que amplia </w:t>
      </w:r>
      <w:proofErr w:type="spellStart"/>
      <w:r>
        <w:rPr>
          <w:rFonts w:cs="Arial"/>
          <w:szCs w:val="22"/>
        </w:rPr>
        <w:t>fins</w:t>
      </w:r>
      <w:proofErr w:type="spellEnd"/>
      <w:r>
        <w:rPr>
          <w:rFonts w:cs="Arial"/>
          <w:szCs w:val="22"/>
        </w:rPr>
        <w:t xml:space="preserve"> a l’1 de </w:t>
      </w:r>
      <w:proofErr w:type="spellStart"/>
      <w:r>
        <w:rPr>
          <w:rFonts w:cs="Arial"/>
          <w:szCs w:val="22"/>
        </w:rPr>
        <w:t>març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l’exercici</w:t>
      </w:r>
      <w:proofErr w:type="spellEnd"/>
      <w:r>
        <w:rPr>
          <w:rFonts w:cs="Arial"/>
          <w:szCs w:val="22"/>
        </w:rPr>
        <w:t xml:space="preserve">  en </w:t>
      </w:r>
      <w:proofErr w:type="spellStart"/>
      <w:r>
        <w:rPr>
          <w:rFonts w:cs="Arial"/>
          <w:szCs w:val="22"/>
        </w:rPr>
        <w:t>què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s’aplique</w:t>
      </w:r>
      <w:proofErr w:type="spellEnd"/>
      <w:r>
        <w:rPr>
          <w:rFonts w:cs="Arial"/>
          <w:szCs w:val="22"/>
        </w:rPr>
        <w:t xml:space="preserve"> el </w:t>
      </w:r>
      <w:proofErr w:type="spellStart"/>
      <w:r>
        <w:rPr>
          <w:rFonts w:cs="Arial"/>
          <w:szCs w:val="22"/>
        </w:rPr>
        <w:t>corresponent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coeficient</w:t>
      </w:r>
      <w:proofErr w:type="spellEnd"/>
      <w:r>
        <w:rPr>
          <w:rFonts w:cs="Arial"/>
          <w:szCs w:val="22"/>
        </w:rPr>
        <w:t xml:space="preserve">, el </w:t>
      </w:r>
      <w:proofErr w:type="spellStart"/>
      <w:r>
        <w:rPr>
          <w:rFonts w:cs="Arial"/>
          <w:szCs w:val="22"/>
        </w:rPr>
        <w:t>període</w:t>
      </w:r>
      <w:proofErr w:type="spellEnd"/>
      <w:r>
        <w:rPr>
          <w:rFonts w:cs="Arial"/>
          <w:szCs w:val="22"/>
        </w:rPr>
        <w:t xml:space="preserve"> per </w:t>
      </w:r>
      <w:proofErr w:type="spellStart"/>
      <w:r>
        <w:rPr>
          <w:rFonts w:cs="Arial"/>
          <w:szCs w:val="22"/>
        </w:rPr>
        <w:t>aprovar</w:t>
      </w:r>
      <w:proofErr w:type="spellEnd"/>
      <w:r>
        <w:rPr>
          <w:rFonts w:cs="Arial"/>
          <w:szCs w:val="22"/>
        </w:rPr>
        <w:t xml:space="preserve"> i publicar el </w:t>
      </w:r>
      <w:proofErr w:type="spellStart"/>
      <w:r>
        <w:rPr>
          <w:rFonts w:cs="Arial"/>
          <w:szCs w:val="22"/>
        </w:rPr>
        <w:t>tipus</w:t>
      </w:r>
      <w:proofErr w:type="spellEnd"/>
      <w:r>
        <w:rPr>
          <w:rFonts w:cs="Arial"/>
          <w:szCs w:val="22"/>
        </w:rPr>
        <w:t xml:space="preserve"> de gravamen de </w:t>
      </w:r>
      <w:proofErr w:type="spellStart"/>
      <w:r>
        <w:rPr>
          <w:rFonts w:cs="Arial"/>
          <w:szCs w:val="22"/>
        </w:rPr>
        <w:t>l’IBI</w:t>
      </w:r>
      <w:proofErr w:type="spellEnd"/>
      <w:r>
        <w:rPr>
          <w:rFonts w:cs="Arial"/>
          <w:szCs w:val="22"/>
        </w:rPr>
        <w:t>.</w:t>
      </w:r>
    </w:p>
    <w:p w:rsidR="00867446" w:rsidRDefault="00867446" w:rsidP="00867446">
      <w:pPr>
        <w:rPr>
          <w:rFonts w:cs="Arial"/>
          <w:szCs w:val="22"/>
        </w:rPr>
      </w:pPr>
    </w:p>
    <w:p w:rsidR="00867446" w:rsidRDefault="00867446" w:rsidP="00867446">
      <w:pPr>
        <w:rPr>
          <w:rFonts w:cs="Arial"/>
          <w:szCs w:val="22"/>
        </w:rPr>
      </w:pPr>
      <w:r>
        <w:rPr>
          <w:rFonts w:cs="Arial"/>
          <w:szCs w:val="22"/>
        </w:rPr>
        <w:t xml:space="preserve">En la </w:t>
      </w:r>
      <w:proofErr w:type="spellStart"/>
      <w:r>
        <w:rPr>
          <w:rFonts w:cs="Arial"/>
          <w:szCs w:val="22"/>
        </w:rPr>
        <w:t>memòria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d’alcaldia</w:t>
      </w:r>
      <w:proofErr w:type="spellEnd"/>
      <w:r>
        <w:rPr>
          <w:rFonts w:cs="Arial"/>
          <w:szCs w:val="22"/>
        </w:rPr>
        <w:t xml:space="preserve"> sobre el </w:t>
      </w:r>
      <w:proofErr w:type="spellStart"/>
      <w:r>
        <w:rPr>
          <w:rFonts w:cs="Arial"/>
          <w:szCs w:val="22"/>
        </w:rPr>
        <w:t>projecte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pressupost</w:t>
      </w:r>
      <w:proofErr w:type="spellEnd"/>
      <w:r>
        <w:rPr>
          <w:rFonts w:cs="Arial"/>
          <w:szCs w:val="22"/>
        </w:rPr>
        <w:t xml:space="preserve"> per la </w:t>
      </w:r>
      <w:proofErr w:type="spellStart"/>
      <w:r>
        <w:rPr>
          <w:rFonts w:cs="Arial"/>
          <w:szCs w:val="22"/>
        </w:rPr>
        <w:t>l’exercici</w:t>
      </w:r>
      <w:proofErr w:type="spellEnd"/>
      <w:r>
        <w:rPr>
          <w:rFonts w:cs="Arial"/>
          <w:szCs w:val="22"/>
        </w:rPr>
        <w:t xml:space="preserve"> 2018, </w:t>
      </w:r>
      <w:proofErr w:type="spellStart"/>
      <w:r>
        <w:rPr>
          <w:rFonts w:cs="Arial"/>
          <w:szCs w:val="22"/>
        </w:rPr>
        <w:t>s’indica</w:t>
      </w:r>
      <w:proofErr w:type="spellEnd"/>
      <w:r>
        <w:rPr>
          <w:rFonts w:cs="Arial"/>
          <w:szCs w:val="22"/>
        </w:rPr>
        <w:t xml:space="preserve"> la </w:t>
      </w:r>
      <w:proofErr w:type="spellStart"/>
      <w:r>
        <w:rPr>
          <w:rFonts w:cs="Arial"/>
          <w:szCs w:val="22"/>
        </w:rPr>
        <w:t>previsió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reduir</w:t>
      </w:r>
      <w:proofErr w:type="spellEnd"/>
      <w:r>
        <w:rPr>
          <w:rFonts w:cs="Arial"/>
          <w:szCs w:val="22"/>
        </w:rPr>
        <w:t xml:space="preserve"> el </w:t>
      </w:r>
      <w:proofErr w:type="spellStart"/>
      <w:r>
        <w:rPr>
          <w:rFonts w:cs="Arial"/>
          <w:szCs w:val="22"/>
        </w:rPr>
        <w:t>deute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tributari</w:t>
      </w:r>
      <w:proofErr w:type="spellEnd"/>
      <w:r>
        <w:rPr>
          <w:rFonts w:cs="Arial"/>
          <w:szCs w:val="22"/>
        </w:rPr>
        <w:t xml:space="preserve"> per </w:t>
      </w:r>
      <w:proofErr w:type="spellStart"/>
      <w:r>
        <w:rPr>
          <w:rFonts w:cs="Arial"/>
          <w:szCs w:val="22"/>
        </w:rPr>
        <w:t>rebut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l’IBI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d’urbana</w:t>
      </w:r>
      <w:proofErr w:type="spellEnd"/>
      <w:r>
        <w:rPr>
          <w:rFonts w:cs="Arial"/>
          <w:szCs w:val="22"/>
        </w:rPr>
        <w:t xml:space="preserve"> en 2 </w:t>
      </w:r>
      <w:proofErr w:type="spellStart"/>
      <w:r>
        <w:rPr>
          <w:rFonts w:cs="Arial"/>
          <w:szCs w:val="22"/>
        </w:rPr>
        <w:t>punts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percentuals</w:t>
      </w:r>
      <w:proofErr w:type="spellEnd"/>
      <w:r>
        <w:rPr>
          <w:rFonts w:cs="Arial"/>
          <w:szCs w:val="22"/>
        </w:rPr>
        <w:t xml:space="preserve">. I </w:t>
      </w:r>
      <w:proofErr w:type="spellStart"/>
      <w:r>
        <w:rPr>
          <w:rFonts w:cs="Arial"/>
          <w:szCs w:val="22"/>
        </w:rPr>
        <w:t>així</w:t>
      </w:r>
      <w:proofErr w:type="spellEnd"/>
      <w:r>
        <w:rPr>
          <w:rFonts w:cs="Arial"/>
          <w:szCs w:val="22"/>
        </w:rPr>
        <w:t xml:space="preserve"> es </w:t>
      </w:r>
      <w:proofErr w:type="spellStart"/>
      <w:r>
        <w:rPr>
          <w:rFonts w:cs="Arial"/>
          <w:szCs w:val="22"/>
        </w:rPr>
        <w:t>reflexa</w:t>
      </w:r>
      <w:proofErr w:type="spellEnd"/>
      <w:r>
        <w:rPr>
          <w:rFonts w:cs="Arial"/>
          <w:szCs w:val="22"/>
        </w:rPr>
        <w:t xml:space="preserve"> el la </w:t>
      </w:r>
      <w:proofErr w:type="spellStart"/>
      <w:r>
        <w:rPr>
          <w:rFonts w:cs="Arial"/>
          <w:szCs w:val="22"/>
        </w:rPr>
        <w:t>corresponen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previsió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d’ingressos</w:t>
      </w:r>
      <w:proofErr w:type="spellEnd"/>
      <w:r>
        <w:rPr>
          <w:rFonts w:cs="Arial"/>
          <w:szCs w:val="22"/>
        </w:rPr>
        <w:t xml:space="preserve"> del </w:t>
      </w:r>
      <w:proofErr w:type="spellStart"/>
      <w:r>
        <w:rPr>
          <w:rFonts w:cs="Arial"/>
          <w:szCs w:val="22"/>
        </w:rPr>
        <w:t>projecte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pressupost</w:t>
      </w:r>
      <w:proofErr w:type="spellEnd"/>
      <w:r>
        <w:rPr>
          <w:rFonts w:cs="Arial"/>
          <w:szCs w:val="22"/>
        </w:rPr>
        <w:t xml:space="preserve">. </w:t>
      </w:r>
    </w:p>
    <w:p w:rsidR="00867446" w:rsidRDefault="00867446" w:rsidP="00867446">
      <w:pPr>
        <w:rPr>
          <w:rFonts w:cs="Arial"/>
          <w:szCs w:val="22"/>
        </w:rPr>
      </w:pPr>
    </w:p>
    <w:p w:rsidR="00867446" w:rsidRDefault="00867446" w:rsidP="00867446">
      <w:pPr>
        <w:rPr>
          <w:rFonts w:cs="Arial"/>
          <w:szCs w:val="22"/>
        </w:rPr>
      </w:pPr>
      <w:r>
        <w:rPr>
          <w:rFonts w:cs="Arial"/>
          <w:szCs w:val="22"/>
        </w:rPr>
        <w:t xml:space="preserve">La </w:t>
      </w:r>
      <w:proofErr w:type="spellStart"/>
      <w:r>
        <w:rPr>
          <w:rFonts w:cs="Arial"/>
          <w:szCs w:val="22"/>
        </w:rPr>
        <w:t>modificació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proposada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tipus</w:t>
      </w:r>
      <w:proofErr w:type="spellEnd"/>
      <w:r>
        <w:rPr>
          <w:rFonts w:cs="Arial"/>
          <w:szCs w:val="22"/>
        </w:rPr>
        <w:t xml:space="preserve"> de gravamen general compensa la </w:t>
      </w:r>
      <w:proofErr w:type="spellStart"/>
      <w:r>
        <w:rPr>
          <w:rFonts w:cs="Arial"/>
          <w:szCs w:val="22"/>
        </w:rPr>
        <w:t>disminució</w:t>
      </w:r>
      <w:proofErr w:type="spellEnd"/>
      <w:r>
        <w:rPr>
          <w:rFonts w:cs="Arial"/>
          <w:szCs w:val="22"/>
        </w:rPr>
        <w:t xml:space="preserve"> de la base </w:t>
      </w:r>
      <w:proofErr w:type="spellStart"/>
      <w:r>
        <w:rPr>
          <w:rFonts w:cs="Arial"/>
          <w:szCs w:val="22"/>
        </w:rPr>
        <w:t>imposable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l’impost</w:t>
      </w:r>
      <w:proofErr w:type="spellEnd"/>
      <w:r>
        <w:rPr>
          <w:rFonts w:cs="Arial"/>
          <w:szCs w:val="22"/>
        </w:rPr>
        <w:t xml:space="preserve"> per </w:t>
      </w:r>
      <w:proofErr w:type="spellStart"/>
      <w:r>
        <w:rPr>
          <w:rFonts w:cs="Arial"/>
          <w:szCs w:val="22"/>
        </w:rPr>
        <w:t>aplicació</w:t>
      </w:r>
      <w:proofErr w:type="spellEnd"/>
      <w:r>
        <w:rPr>
          <w:rFonts w:cs="Arial"/>
          <w:szCs w:val="22"/>
        </w:rPr>
        <w:t xml:space="preserve"> del </w:t>
      </w:r>
      <w:proofErr w:type="spellStart"/>
      <w:r>
        <w:rPr>
          <w:rFonts w:cs="Arial"/>
          <w:szCs w:val="22"/>
        </w:rPr>
        <w:t>coeficient</w:t>
      </w:r>
      <w:proofErr w:type="spellEnd"/>
      <w:r>
        <w:rPr>
          <w:rFonts w:cs="Arial"/>
          <w:szCs w:val="22"/>
        </w:rPr>
        <w:t xml:space="preserve"> del 0,96, i </w:t>
      </w:r>
      <w:proofErr w:type="spellStart"/>
      <w:r>
        <w:rPr>
          <w:rFonts w:cs="Arial"/>
          <w:szCs w:val="22"/>
        </w:rPr>
        <w:t>compleix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amb</w:t>
      </w:r>
      <w:proofErr w:type="spellEnd"/>
      <w:r>
        <w:rPr>
          <w:rFonts w:cs="Arial"/>
          <w:szCs w:val="22"/>
        </w:rPr>
        <w:t xml:space="preserve"> el </w:t>
      </w:r>
      <w:proofErr w:type="spellStart"/>
      <w:r>
        <w:rPr>
          <w:rFonts w:cs="Arial"/>
          <w:szCs w:val="22"/>
        </w:rPr>
        <w:t>compromís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reduir</w:t>
      </w:r>
      <w:proofErr w:type="spellEnd"/>
      <w:r>
        <w:rPr>
          <w:rFonts w:cs="Arial"/>
          <w:szCs w:val="22"/>
        </w:rPr>
        <w:t xml:space="preserve"> la </w:t>
      </w:r>
      <w:proofErr w:type="spellStart"/>
      <w:r>
        <w:rPr>
          <w:rFonts w:cs="Arial"/>
          <w:szCs w:val="22"/>
        </w:rPr>
        <w:t>càrrega</w:t>
      </w:r>
      <w:proofErr w:type="spellEnd"/>
      <w:r>
        <w:rPr>
          <w:rFonts w:cs="Arial"/>
          <w:szCs w:val="22"/>
        </w:rPr>
        <w:t xml:space="preserve"> fiscal suportada </w:t>
      </w:r>
      <w:proofErr w:type="spellStart"/>
      <w:r>
        <w:rPr>
          <w:rFonts w:cs="Arial"/>
          <w:szCs w:val="22"/>
        </w:rPr>
        <w:t>pels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contribuents</w:t>
      </w:r>
      <w:proofErr w:type="spellEnd"/>
      <w:r>
        <w:rPr>
          <w:rFonts w:cs="Arial"/>
          <w:szCs w:val="22"/>
        </w:rPr>
        <w:t xml:space="preserve"> en 2 </w:t>
      </w:r>
      <w:proofErr w:type="spellStart"/>
      <w:r>
        <w:rPr>
          <w:rFonts w:cs="Arial"/>
          <w:szCs w:val="22"/>
        </w:rPr>
        <w:t>punts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percentuals</w:t>
      </w:r>
      <w:proofErr w:type="spellEnd"/>
      <w:r>
        <w:rPr>
          <w:rFonts w:cs="Arial"/>
          <w:szCs w:val="22"/>
        </w:rPr>
        <w:t>.</w:t>
      </w:r>
    </w:p>
    <w:p w:rsidR="00867446" w:rsidRPr="00156B65" w:rsidRDefault="00867446" w:rsidP="00867446">
      <w:pPr>
        <w:rPr>
          <w:rFonts w:cs="Arial"/>
          <w:szCs w:val="22"/>
        </w:rPr>
      </w:pPr>
    </w:p>
    <w:p w:rsidR="00867446" w:rsidRPr="00156B65" w:rsidRDefault="00867446" w:rsidP="00867446">
      <w:pPr>
        <w:rPr>
          <w:rFonts w:cs="Arial"/>
          <w:szCs w:val="22"/>
        </w:rPr>
      </w:pPr>
      <w:r>
        <w:rPr>
          <w:rFonts w:cs="Arial"/>
          <w:szCs w:val="22"/>
        </w:rPr>
        <w:t xml:space="preserve">Respecte </w:t>
      </w:r>
      <w:proofErr w:type="spellStart"/>
      <w:r>
        <w:rPr>
          <w:rFonts w:cs="Arial"/>
          <w:szCs w:val="22"/>
        </w:rPr>
        <w:t>als</w:t>
      </w:r>
      <w:proofErr w:type="spellEnd"/>
      <w:r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tipus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diferencials</w:t>
      </w:r>
      <w:proofErr w:type="spellEnd"/>
      <w:r w:rsidRPr="00156B65">
        <w:rPr>
          <w:rFonts w:cs="Arial"/>
          <w:szCs w:val="22"/>
        </w:rPr>
        <w:t xml:space="preserve">, que afecten </w:t>
      </w:r>
      <w:proofErr w:type="spellStart"/>
      <w:r>
        <w:rPr>
          <w:rFonts w:cs="Arial"/>
          <w:szCs w:val="22"/>
        </w:rPr>
        <w:t>aproximadament</w:t>
      </w:r>
      <w:proofErr w:type="spellEnd"/>
      <w:r>
        <w:rPr>
          <w:rFonts w:cs="Arial"/>
          <w:szCs w:val="22"/>
        </w:rPr>
        <w:t xml:space="preserve"> </w:t>
      </w:r>
      <w:r w:rsidRPr="00156B65">
        <w:rPr>
          <w:rFonts w:cs="Arial"/>
          <w:szCs w:val="22"/>
        </w:rPr>
        <w:t>a 23</w:t>
      </w:r>
      <w:r>
        <w:rPr>
          <w:rFonts w:cs="Arial"/>
          <w:szCs w:val="22"/>
        </w:rPr>
        <w:t>0</w:t>
      </w:r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rebuts</w:t>
      </w:r>
      <w:proofErr w:type="spellEnd"/>
      <w:r w:rsidRPr="00156B65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la </w:t>
      </w:r>
      <w:proofErr w:type="spellStart"/>
      <w:r>
        <w:rPr>
          <w:rFonts w:cs="Arial"/>
          <w:szCs w:val="22"/>
        </w:rPr>
        <w:t>compensació</w:t>
      </w:r>
      <w:proofErr w:type="spellEnd"/>
      <w:r>
        <w:rPr>
          <w:rFonts w:cs="Arial"/>
          <w:szCs w:val="22"/>
        </w:rPr>
        <w:t xml:space="preserve"> resulta completa, de forma que es </w:t>
      </w:r>
      <w:proofErr w:type="spellStart"/>
      <w:r>
        <w:rPr>
          <w:rFonts w:cs="Arial"/>
          <w:szCs w:val="22"/>
        </w:rPr>
        <w:t>mantindrà</w:t>
      </w:r>
      <w:proofErr w:type="spellEnd"/>
      <w:r>
        <w:rPr>
          <w:rFonts w:cs="Arial"/>
          <w:szCs w:val="22"/>
        </w:rPr>
        <w:t xml:space="preserve"> en 2018 la </w:t>
      </w:r>
      <w:proofErr w:type="spellStart"/>
      <w:r>
        <w:rPr>
          <w:rFonts w:cs="Arial"/>
          <w:szCs w:val="22"/>
        </w:rPr>
        <w:t>mateixa</w:t>
      </w:r>
      <w:proofErr w:type="spellEnd"/>
      <w:r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quantia</w:t>
      </w:r>
      <w:proofErr w:type="spellEnd"/>
      <w:r>
        <w:rPr>
          <w:rFonts w:cs="Arial"/>
          <w:szCs w:val="22"/>
        </w:rPr>
        <w:t xml:space="preserve"> del </w:t>
      </w:r>
      <w:proofErr w:type="spellStart"/>
      <w:r>
        <w:rPr>
          <w:rFonts w:cs="Arial"/>
          <w:szCs w:val="22"/>
        </w:rPr>
        <w:t>deute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tributari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grans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contribuents</w:t>
      </w:r>
      <w:proofErr w:type="spellEnd"/>
      <w:r>
        <w:rPr>
          <w:rFonts w:cs="Arial"/>
          <w:szCs w:val="22"/>
        </w:rPr>
        <w:t>.</w:t>
      </w:r>
    </w:p>
    <w:p w:rsidR="00867446" w:rsidRDefault="00867446" w:rsidP="00867446">
      <w:pPr>
        <w:rPr>
          <w:rFonts w:cs="Arial"/>
          <w:szCs w:val="22"/>
        </w:rPr>
      </w:pPr>
    </w:p>
    <w:p w:rsidR="00867446" w:rsidRDefault="00867446" w:rsidP="00867446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Vista la </w:t>
      </w:r>
      <w:proofErr w:type="spellStart"/>
      <w:r>
        <w:rPr>
          <w:rFonts w:cs="Arial"/>
          <w:szCs w:val="22"/>
        </w:rPr>
        <w:t>proposta</w:t>
      </w:r>
      <w:proofErr w:type="spellEnd"/>
      <w:r>
        <w:rPr>
          <w:rFonts w:cs="Arial"/>
          <w:szCs w:val="22"/>
        </w:rPr>
        <w:t xml:space="preserve"> del regidor </w:t>
      </w:r>
      <w:proofErr w:type="spellStart"/>
      <w:r>
        <w:rPr>
          <w:rFonts w:cs="Arial"/>
          <w:szCs w:val="22"/>
        </w:rPr>
        <w:t>d’Economia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Hisenda</w:t>
      </w:r>
      <w:proofErr w:type="spellEnd"/>
      <w:r>
        <w:rPr>
          <w:rFonts w:cs="Arial"/>
          <w:szCs w:val="22"/>
        </w:rPr>
        <w:t xml:space="preserve"> i </w:t>
      </w:r>
      <w:proofErr w:type="spellStart"/>
      <w:r>
        <w:rPr>
          <w:rFonts w:cs="Arial"/>
          <w:szCs w:val="22"/>
        </w:rPr>
        <w:t>Joventut</w:t>
      </w:r>
      <w:proofErr w:type="spellEnd"/>
      <w:r>
        <w:rPr>
          <w:rFonts w:cs="Arial"/>
          <w:szCs w:val="22"/>
        </w:rPr>
        <w:t xml:space="preserve">, de 22 de </w:t>
      </w:r>
      <w:proofErr w:type="spellStart"/>
      <w:r>
        <w:rPr>
          <w:rFonts w:cs="Arial"/>
          <w:szCs w:val="22"/>
        </w:rPr>
        <w:t>gener</w:t>
      </w:r>
      <w:proofErr w:type="spellEnd"/>
      <w:r>
        <w:rPr>
          <w:rFonts w:cs="Arial"/>
          <w:szCs w:val="22"/>
        </w:rPr>
        <w:t xml:space="preserve"> de 2018.</w:t>
      </w:r>
    </w:p>
    <w:p w:rsidR="00867446" w:rsidRDefault="00867446" w:rsidP="00867446">
      <w:pPr>
        <w:rPr>
          <w:rFonts w:cs="Arial"/>
          <w:szCs w:val="22"/>
        </w:rPr>
      </w:pPr>
    </w:p>
    <w:p w:rsidR="00867446" w:rsidRDefault="00867446" w:rsidP="00867446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Vist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l’informe</w:t>
      </w:r>
      <w:proofErr w:type="spellEnd"/>
      <w:r>
        <w:rPr>
          <w:rFonts w:cs="Arial"/>
          <w:szCs w:val="22"/>
        </w:rPr>
        <w:t xml:space="preserve"> favorable de </w:t>
      </w:r>
      <w:proofErr w:type="spellStart"/>
      <w:r>
        <w:rPr>
          <w:rFonts w:cs="Arial"/>
          <w:szCs w:val="22"/>
        </w:rPr>
        <w:t>l’interventor</w:t>
      </w:r>
      <w:proofErr w:type="spellEnd"/>
      <w:r>
        <w:rPr>
          <w:rFonts w:cs="Arial"/>
          <w:szCs w:val="22"/>
        </w:rPr>
        <w:t xml:space="preserve"> general, de 22 de </w:t>
      </w:r>
      <w:proofErr w:type="spellStart"/>
      <w:r>
        <w:rPr>
          <w:rFonts w:cs="Arial"/>
          <w:szCs w:val="22"/>
        </w:rPr>
        <w:t>gener</w:t>
      </w:r>
      <w:proofErr w:type="spellEnd"/>
      <w:r>
        <w:rPr>
          <w:rFonts w:cs="Arial"/>
          <w:szCs w:val="22"/>
        </w:rPr>
        <w:t xml:space="preserve"> de 2018.</w:t>
      </w:r>
    </w:p>
    <w:p w:rsidR="00867446" w:rsidRDefault="00867446" w:rsidP="00867446">
      <w:pPr>
        <w:rPr>
          <w:rFonts w:cs="Arial"/>
          <w:szCs w:val="22"/>
        </w:rPr>
      </w:pPr>
    </w:p>
    <w:p w:rsidR="00867446" w:rsidRDefault="00867446" w:rsidP="00867446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Vist</w:t>
      </w:r>
      <w:proofErr w:type="spellEnd"/>
      <w:r>
        <w:rPr>
          <w:rFonts w:cs="Arial"/>
          <w:szCs w:val="22"/>
        </w:rPr>
        <w:t xml:space="preserve"> el dictamen de la </w:t>
      </w:r>
      <w:proofErr w:type="spellStart"/>
      <w:r>
        <w:rPr>
          <w:rFonts w:cs="Arial"/>
          <w:szCs w:val="22"/>
        </w:rPr>
        <w:t>Comissió</w:t>
      </w:r>
      <w:proofErr w:type="spellEnd"/>
      <w:r>
        <w:rPr>
          <w:rFonts w:cs="Arial"/>
          <w:szCs w:val="22"/>
        </w:rPr>
        <w:t xml:space="preserve"> Informativa </w:t>
      </w:r>
      <w:proofErr w:type="spellStart"/>
      <w:r>
        <w:rPr>
          <w:rFonts w:cs="Arial"/>
          <w:szCs w:val="22"/>
        </w:rPr>
        <w:t>d’Economia</w:t>
      </w:r>
      <w:proofErr w:type="spellEnd"/>
      <w:r>
        <w:rPr>
          <w:rFonts w:cs="Arial"/>
          <w:szCs w:val="22"/>
        </w:rPr>
        <w:t xml:space="preserve"> i </w:t>
      </w:r>
      <w:proofErr w:type="spellStart"/>
      <w:r>
        <w:rPr>
          <w:rFonts w:cs="Arial"/>
          <w:szCs w:val="22"/>
        </w:rPr>
        <w:t>Serveis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Públics</w:t>
      </w:r>
      <w:proofErr w:type="spellEnd"/>
      <w:r w:rsidR="00431A22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en </w:t>
      </w:r>
      <w:proofErr w:type="spellStart"/>
      <w:r>
        <w:rPr>
          <w:rFonts w:cs="Arial"/>
          <w:szCs w:val="22"/>
        </w:rPr>
        <w:t>sessió</w:t>
      </w:r>
      <w:proofErr w:type="spellEnd"/>
      <w:r>
        <w:rPr>
          <w:rFonts w:cs="Arial"/>
          <w:szCs w:val="22"/>
        </w:rPr>
        <w:t xml:space="preserve"> celebrada el 30 de </w:t>
      </w:r>
      <w:proofErr w:type="spellStart"/>
      <w:r>
        <w:rPr>
          <w:rFonts w:cs="Arial"/>
          <w:szCs w:val="22"/>
        </w:rPr>
        <w:t>gener</w:t>
      </w:r>
      <w:proofErr w:type="spellEnd"/>
      <w:r>
        <w:rPr>
          <w:rFonts w:cs="Arial"/>
          <w:szCs w:val="22"/>
        </w:rPr>
        <w:t xml:space="preserve"> de 2018</w:t>
      </w:r>
      <w:r w:rsidR="009D196F">
        <w:rPr>
          <w:rFonts w:cs="Arial"/>
          <w:szCs w:val="22"/>
        </w:rPr>
        <w:t>.</w:t>
      </w:r>
    </w:p>
    <w:p w:rsidR="009D196F" w:rsidRDefault="009D196F" w:rsidP="00867446">
      <w:pPr>
        <w:rPr>
          <w:rFonts w:cs="Arial"/>
          <w:szCs w:val="22"/>
        </w:rPr>
      </w:pPr>
    </w:p>
    <w:p w:rsidR="007D4E81" w:rsidRDefault="007D4E81" w:rsidP="00867446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L’alcalde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obri</w:t>
      </w:r>
      <w:proofErr w:type="spellEnd"/>
      <w:r>
        <w:rPr>
          <w:rFonts w:cs="Arial"/>
          <w:szCs w:val="22"/>
        </w:rPr>
        <w:t xml:space="preserve"> un </w:t>
      </w:r>
      <w:proofErr w:type="spellStart"/>
      <w:r>
        <w:rPr>
          <w:rFonts w:cs="Arial"/>
          <w:szCs w:val="22"/>
        </w:rPr>
        <w:t>torn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d’intervencions</w:t>
      </w:r>
      <w:proofErr w:type="spellEnd"/>
      <w:r>
        <w:rPr>
          <w:rFonts w:cs="Arial"/>
          <w:szCs w:val="22"/>
        </w:rPr>
        <w:t>:</w:t>
      </w:r>
    </w:p>
    <w:p w:rsidR="007D4E81" w:rsidRDefault="007D4E81" w:rsidP="00867446">
      <w:pPr>
        <w:rPr>
          <w:rFonts w:cs="Arial"/>
          <w:szCs w:val="22"/>
        </w:rPr>
      </w:pPr>
      <w:r>
        <w:rPr>
          <w:rFonts w:cs="Arial"/>
          <w:szCs w:val="22"/>
        </w:rPr>
        <w:t>&lt;&lt;……………………………………………………………………………………………..&gt;&gt;</w:t>
      </w:r>
    </w:p>
    <w:p w:rsidR="007D4E81" w:rsidRDefault="007D4E81" w:rsidP="00867446">
      <w:pPr>
        <w:rPr>
          <w:rFonts w:cs="Arial"/>
          <w:szCs w:val="22"/>
        </w:rPr>
      </w:pPr>
    </w:p>
    <w:p w:rsidR="009D196F" w:rsidRDefault="009D196F" w:rsidP="009D196F">
      <w:pPr>
        <w:rPr>
          <w:bCs/>
          <w:szCs w:val="22"/>
        </w:rPr>
      </w:pPr>
      <w:proofErr w:type="spellStart"/>
      <w:r>
        <w:rPr>
          <w:rFonts w:cs="Arial"/>
          <w:szCs w:val="22"/>
        </w:rPr>
        <w:t>L’alcalde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sotmet</w:t>
      </w:r>
      <w:proofErr w:type="spellEnd"/>
      <w:r>
        <w:rPr>
          <w:rFonts w:cs="Arial"/>
          <w:szCs w:val="22"/>
        </w:rPr>
        <w:t xml:space="preserve"> a </w:t>
      </w:r>
      <w:proofErr w:type="spellStart"/>
      <w:r>
        <w:rPr>
          <w:rFonts w:cs="Arial"/>
          <w:szCs w:val="22"/>
        </w:rPr>
        <w:t>votació</w:t>
      </w:r>
      <w:proofErr w:type="spellEnd"/>
      <w:r>
        <w:rPr>
          <w:rFonts w:cs="Arial"/>
          <w:szCs w:val="22"/>
        </w:rPr>
        <w:t xml:space="preserve"> el dictamen i el Ple, </w:t>
      </w:r>
      <w:proofErr w:type="spellStart"/>
      <w:r>
        <w:rPr>
          <w:rFonts w:cs="Arial"/>
          <w:szCs w:val="22"/>
        </w:rPr>
        <w:t>amb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l’assistència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dihuit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regidors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dels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vint</w:t>
      </w:r>
      <w:proofErr w:type="spellEnd"/>
      <w:r>
        <w:rPr>
          <w:rFonts w:cs="Arial"/>
          <w:szCs w:val="22"/>
        </w:rPr>
        <w:t xml:space="preserve">-i-un que de </w:t>
      </w:r>
      <w:proofErr w:type="spellStart"/>
      <w:r>
        <w:rPr>
          <w:rFonts w:cs="Arial"/>
          <w:szCs w:val="22"/>
        </w:rPr>
        <w:t>fet</w:t>
      </w:r>
      <w:proofErr w:type="spellEnd"/>
      <w:r>
        <w:rPr>
          <w:rFonts w:cs="Arial"/>
          <w:szCs w:val="22"/>
        </w:rPr>
        <w:t xml:space="preserve"> i </w:t>
      </w:r>
      <w:proofErr w:type="spellStart"/>
      <w:r>
        <w:rPr>
          <w:rFonts w:cs="Arial"/>
          <w:szCs w:val="22"/>
        </w:rPr>
        <w:t>dret</w:t>
      </w:r>
      <w:proofErr w:type="spellEnd"/>
      <w:r>
        <w:rPr>
          <w:rFonts w:cs="Arial"/>
          <w:szCs w:val="22"/>
        </w:rPr>
        <w:t xml:space="preserve"> formen la </w:t>
      </w:r>
      <w:proofErr w:type="spellStart"/>
      <w:r>
        <w:rPr>
          <w:rFonts w:cs="Arial"/>
          <w:szCs w:val="22"/>
        </w:rPr>
        <w:t>corporació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després</w:t>
      </w:r>
      <w:proofErr w:type="spellEnd"/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deliberació</w:t>
      </w:r>
      <w:proofErr w:type="spellEnd"/>
      <w:r>
        <w:rPr>
          <w:bCs/>
          <w:szCs w:val="22"/>
        </w:rPr>
        <w:t xml:space="preserve"> i per 10 </w:t>
      </w:r>
      <w:proofErr w:type="spellStart"/>
      <w:r>
        <w:rPr>
          <w:bCs/>
          <w:szCs w:val="22"/>
        </w:rPr>
        <w:t>vots</w:t>
      </w:r>
      <w:proofErr w:type="spellEnd"/>
      <w:r>
        <w:rPr>
          <w:bCs/>
          <w:szCs w:val="22"/>
        </w:rPr>
        <w:t xml:space="preserve"> a favor (6 de </w:t>
      </w:r>
      <w:proofErr w:type="spellStart"/>
      <w:r>
        <w:rPr>
          <w:bCs/>
          <w:szCs w:val="22"/>
        </w:rPr>
        <w:t>Compro</w:t>
      </w:r>
      <w:r w:rsidR="00431A22">
        <w:rPr>
          <w:bCs/>
          <w:szCs w:val="22"/>
        </w:rPr>
        <w:t>mís</w:t>
      </w:r>
      <w:proofErr w:type="spellEnd"/>
      <w:r w:rsidR="00431A22">
        <w:rPr>
          <w:bCs/>
          <w:szCs w:val="22"/>
        </w:rPr>
        <w:t>, 3</w:t>
      </w:r>
      <w:r>
        <w:rPr>
          <w:bCs/>
          <w:szCs w:val="22"/>
        </w:rPr>
        <w:t xml:space="preserve"> de PSOE i 1 de EUPV), 2 </w:t>
      </w:r>
      <w:proofErr w:type="spellStart"/>
      <w:r>
        <w:rPr>
          <w:bCs/>
          <w:szCs w:val="22"/>
        </w:rPr>
        <w:t>vots</w:t>
      </w:r>
      <w:proofErr w:type="spellEnd"/>
      <w:r>
        <w:rPr>
          <w:bCs/>
          <w:szCs w:val="22"/>
        </w:rPr>
        <w:t xml:space="preserve"> en contra</w:t>
      </w:r>
      <w:r w:rsidR="00431A22">
        <w:rPr>
          <w:bCs/>
          <w:szCs w:val="22"/>
        </w:rPr>
        <w:t xml:space="preserve"> de </w:t>
      </w:r>
      <w:proofErr w:type="spellStart"/>
      <w:r w:rsidR="00431A22">
        <w:rPr>
          <w:bCs/>
          <w:szCs w:val="22"/>
        </w:rPr>
        <w:t>C’s</w:t>
      </w:r>
      <w:proofErr w:type="spellEnd"/>
      <w:r w:rsidR="00431A22">
        <w:rPr>
          <w:bCs/>
          <w:szCs w:val="22"/>
        </w:rPr>
        <w:t xml:space="preserve"> i 6 </w:t>
      </w:r>
      <w:proofErr w:type="spellStart"/>
      <w:r w:rsidR="00431A22">
        <w:rPr>
          <w:bCs/>
          <w:szCs w:val="22"/>
        </w:rPr>
        <w:t>abstencions</w:t>
      </w:r>
      <w:proofErr w:type="spellEnd"/>
      <w:r>
        <w:rPr>
          <w:bCs/>
          <w:szCs w:val="22"/>
        </w:rPr>
        <w:t xml:space="preserve"> de</w:t>
      </w:r>
      <w:r w:rsidR="00431A22">
        <w:rPr>
          <w:bCs/>
          <w:szCs w:val="22"/>
        </w:rPr>
        <w:t>l PP</w:t>
      </w:r>
      <w:r>
        <w:rPr>
          <w:bCs/>
          <w:szCs w:val="22"/>
        </w:rPr>
        <w:t>, ACORDA:</w:t>
      </w:r>
    </w:p>
    <w:p w:rsidR="00867446" w:rsidRDefault="00867446" w:rsidP="00867446">
      <w:pPr>
        <w:rPr>
          <w:rFonts w:cs="Arial"/>
          <w:szCs w:val="22"/>
        </w:rPr>
      </w:pPr>
    </w:p>
    <w:p w:rsidR="00867446" w:rsidRPr="00156B65" w:rsidRDefault="00867446" w:rsidP="00867446">
      <w:pPr>
        <w:rPr>
          <w:rFonts w:cs="Arial"/>
          <w:szCs w:val="22"/>
        </w:rPr>
      </w:pPr>
      <w:r w:rsidRPr="00156B65">
        <w:rPr>
          <w:rFonts w:cs="Arial"/>
          <w:szCs w:val="22"/>
        </w:rPr>
        <w:t>PRIMER. Modificar</w:t>
      </w:r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amb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efectes</w:t>
      </w:r>
      <w:proofErr w:type="spellEnd"/>
      <w:r>
        <w:rPr>
          <w:rFonts w:cs="Arial"/>
          <w:szCs w:val="22"/>
        </w:rPr>
        <w:t xml:space="preserve"> de l’1 de </w:t>
      </w:r>
      <w:proofErr w:type="spellStart"/>
      <w:r>
        <w:rPr>
          <w:rFonts w:cs="Arial"/>
          <w:szCs w:val="22"/>
        </w:rPr>
        <w:t>gener</w:t>
      </w:r>
      <w:proofErr w:type="spellEnd"/>
      <w:r>
        <w:rPr>
          <w:rFonts w:cs="Arial"/>
          <w:szCs w:val="22"/>
        </w:rPr>
        <w:t xml:space="preserve"> de 2018,</w:t>
      </w:r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l’apartat</w:t>
      </w:r>
      <w:proofErr w:type="spellEnd"/>
      <w:r w:rsidRPr="00156B65">
        <w:rPr>
          <w:rFonts w:cs="Arial"/>
          <w:szCs w:val="22"/>
        </w:rPr>
        <w:t xml:space="preserve"> 1 de </w:t>
      </w:r>
      <w:proofErr w:type="spellStart"/>
      <w:r w:rsidRPr="00156B65">
        <w:rPr>
          <w:rFonts w:cs="Arial"/>
          <w:szCs w:val="22"/>
        </w:rPr>
        <w:t>l’article</w:t>
      </w:r>
      <w:proofErr w:type="spellEnd"/>
      <w:r w:rsidRPr="00156B65">
        <w:rPr>
          <w:rFonts w:cs="Arial"/>
          <w:szCs w:val="22"/>
        </w:rPr>
        <w:t xml:space="preserve"> 7 de </w:t>
      </w:r>
      <w:proofErr w:type="spellStart"/>
      <w:r w:rsidRPr="00156B65">
        <w:rPr>
          <w:rFonts w:cs="Arial"/>
          <w:szCs w:val="22"/>
        </w:rPr>
        <w:t>l’</w:t>
      </w:r>
      <w:r>
        <w:rPr>
          <w:rFonts w:cs="Arial"/>
          <w:szCs w:val="22"/>
        </w:rPr>
        <w:t>O</w:t>
      </w:r>
      <w:r w:rsidRPr="00156B65">
        <w:rPr>
          <w:rFonts w:cs="Arial"/>
          <w:szCs w:val="22"/>
        </w:rPr>
        <w:t>rdenança</w:t>
      </w:r>
      <w:proofErr w:type="spellEnd"/>
      <w:r w:rsidRPr="00156B65">
        <w:rPr>
          <w:rFonts w:cs="Arial"/>
          <w:szCs w:val="22"/>
        </w:rPr>
        <w:t xml:space="preserve"> fiscal de </w:t>
      </w:r>
      <w:proofErr w:type="spellStart"/>
      <w:r w:rsidRPr="00156B65">
        <w:rPr>
          <w:rFonts w:cs="Arial"/>
          <w:szCs w:val="22"/>
        </w:rPr>
        <w:t>l’IBI</w:t>
      </w:r>
      <w:proofErr w:type="spellEnd"/>
      <w:r w:rsidRPr="00156B65">
        <w:rPr>
          <w:rFonts w:cs="Arial"/>
          <w:szCs w:val="22"/>
        </w:rPr>
        <w:t xml:space="preserve">, que queda </w:t>
      </w:r>
      <w:proofErr w:type="spellStart"/>
      <w:r w:rsidRPr="00156B65">
        <w:rPr>
          <w:rFonts w:cs="Arial"/>
          <w:szCs w:val="22"/>
        </w:rPr>
        <w:t>redactat</w:t>
      </w:r>
      <w:proofErr w:type="spellEnd"/>
      <w:r w:rsidRPr="00156B65">
        <w:rPr>
          <w:rFonts w:cs="Arial"/>
          <w:szCs w:val="22"/>
        </w:rPr>
        <w:t xml:space="preserve"> en </w:t>
      </w:r>
      <w:proofErr w:type="spellStart"/>
      <w:r w:rsidRPr="00156B65">
        <w:rPr>
          <w:rFonts w:cs="Arial"/>
          <w:szCs w:val="22"/>
        </w:rPr>
        <w:t>els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següents</w:t>
      </w:r>
      <w:proofErr w:type="spellEnd"/>
      <w:r w:rsidRPr="00156B65">
        <w:rPr>
          <w:rFonts w:cs="Arial"/>
          <w:szCs w:val="22"/>
        </w:rPr>
        <w:t xml:space="preserve"> termes:</w:t>
      </w:r>
    </w:p>
    <w:p w:rsidR="00867446" w:rsidRPr="00C1367E" w:rsidRDefault="00867446" w:rsidP="00867446">
      <w:pPr>
        <w:pStyle w:val="Ttulo2"/>
        <w:spacing w:after="0"/>
        <w:rPr>
          <w:sz w:val="22"/>
        </w:rPr>
      </w:pPr>
      <w:r w:rsidRPr="00C1367E">
        <w:rPr>
          <w:sz w:val="22"/>
        </w:rPr>
        <w:t>«</w:t>
      </w:r>
      <w:proofErr w:type="spellStart"/>
      <w:r w:rsidRPr="00C1367E">
        <w:rPr>
          <w:sz w:val="22"/>
        </w:rPr>
        <w:t>Article</w:t>
      </w:r>
      <w:proofErr w:type="spellEnd"/>
      <w:r w:rsidRPr="00C1367E">
        <w:rPr>
          <w:sz w:val="22"/>
        </w:rPr>
        <w:t xml:space="preserve"> 7. </w:t>
      </w:r>
      <w:proofErr w:type="spellStart"/>
      <w:r w:rsidRPr="00C1367E">
        <w:rPr>
          <w:sz w:val="22"/>
        </w:rPr>
        <w:t>Tipus</w:t>
      </w:r>
      <w:proofErr w:type="spellEnd"/>
      <w:r w:rsidRPr="00C1367E">
        <w:rPr>
          <w:sz w:val="22"/>
        </w:rPr>
        <w:t xml:space="preserve"> de gravamen i </w:t>
      </w:r>
      <w:proofErr w:type="spellStart"/>
      <w:r w:rsidRPr="00C1367E">
        <w:rPr>
          <w:sz w:val="22"/>
        </w:rPr>
        <w:t>quota</w:t>
      </w:r>
      <w:proofErr w:type="spellEnd"/>
    </w:p>
    <w:p w:rsidR="00867446" w:rsidRDefault="00867446" w:rsidP="00867446">
      <w:pPr>
        <w:pStyle w:val="Sangradetext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ca-ES"/>
        </w:rPr>
      </w:pPr>
    </w:p>
    <w:p w:rsidR="00867446" w:rsidRDefault="00867446" w:rsidP="00867446">
      <w:pPr>
        <w:pStyle w:val="Sangradetext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ca-ES"/>
        </w:rPr>
      </w:pPr>
      <w:r w:rsidRPr="00C1367E">
        <w:rPr>
          <w:lang w:val="ca-ES"/>
        </w:rPr>
        <w:t>1. Per als bens de naturalesa urbana s’estableixen els següents tipus de gravamen:</w:t>
      </w:r>
    </w:p>
    <w:p w:rsidR="00867446" w:rsidRPr="00C1367E" w:rsidRDefault="00867446" w:rsidP="00867446">
      <w:pPr>
        <w:pStyle w:val="Sangradetext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ca-ES"/>
        </w:rPr>
      </w:pPr>
    </w:p>
    <w:p w:rsidR="00867446" w:rsidRPr="00C1367E" w:rsidRDefault="00867446" w:rsidP="00867446">
      <w:pPr>
        <w:numPr>
          <w:ilvl w:val="0"/>
          <w:numId w:val="1"/>
        </w:numPr>
        <w:tabs>
          <w:tab w:val="left" w:pos="141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overflowPunct/>
        <w:autoSpaceDE/>
        <w:autoSpaceDN/>
        <w:adjustRightInd/>
        <w:ind w:left="1414" w:hanging="705"/>
        <w:textAlignment w:val="auto"/>
        <w:rPr>
          <w:rFonts w:cs="Arial"/>
          <w:b/>
        </w:rPr>
      </w:pPr>
      <w:proofErr w:type="spellStart"/>
      <w:r w:rsidRPr="00C1367E">
        <w:rPr>
          <w:rFonts w:cs="Arial"/>
          <w:b/>
        </w:rPr>
        <w:t>Tipus</w:t>
      </w:r>
      <w:proofErr w:type="spellEnd"/>
      <w:r w:rsidRPr="00C1367E">
        <w:rPr>
          <w:rFonts w:cs="Arial"/>
          <w:b/>
        </w:rPr>
        <w:t xml:space="preserve"> general: 0,</w:t>
      </w:r>
      <w:r>
        <w:rPr>
          <w:rFonts w:cs="Arial"/>
          <w:b/>
        </w:rPr>
        <w:t>6900</w:t>
      </w:r>
      <w:r w:rsidRPr="00C1367E">
        <w:rPr>
          <w:rFonts w:cs="Arial"/>
          <w:b/>
        </w:rPr>
        <w:t xml:space="preserve"> per cent. </w:t>
      </w:r>
    </w:p>
    <w:p w:rsidR="00867446" w:rsidRPr="00C1367E" w:rsidRDefault="00867446" w:rsidP="00867446">
      <w:pPr>
        <w:numPr>
          <w:ilvl w:val="0"/>
          <w:numId w:val="1"/>
        </w:numPr>
        <w:tabs>
          <w:tab w:val="left" w:pos="141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overflowPunct/>
        <w:autoSpaceDE/>
        <w:autoSpaceDN/>
        <w:adjustRightInd/>
        <w:ind w:left="1414" w:hanging="705"/>
        <w:textAlignment w:val="auto"/>
        <w:rPr>
          <w:rFonts w:cs="Arial"/>
          <w:b/>
        </w:rPr>
      </w:pPr>
      <w:proofErr w:type="spellStart"/>
      <w:r w:rsidRPr="00C1367E">
        <w:rPr>
          <w:rFonts w:cs="Arial"/>
          <w:b/>
        </w:rPr>
        <w:t>Tipus</w:t>
      </w:r>
      <w:proofErr w:type="spellEnd"/>
      <w:r w:rsidRPr="00C1367E">
        <w:rPr>
          <w:rFonts w:cs="Arial"/>
          <w:b/>
        </w:rPr>
        <w:t xml:space="preserve"> </w:t>
      </w:r>
      <w:proofErr w:type="spellStart"/>
      <w:r w:rsidRPr="00C1367E">
        <w:rPr>
          <w:rFonts w:cs="Arial"/>
          <w:b/>
          <w:color w:val="000000"/>
        </w:rPr>
        <w:t>diferenciats</w:t>
      </w:r>
      <w:proofErr w:type="spellEnd"/>
      <w:r w:rsidRPr="00C1367E">
        <w:rPr>
          <w:rFonts w:cs="Arial"/>
          <w:b/>
          <w:color w:val="000000"/>
        </w:rPr>
        <w:t xml:space="preserve"> </w:t>
      </w:r>
      <w:proofErr w:type="spellStart"/>
      <w:r w:rsidRPr="00C1367E">
        <w:rPr>
          <w:rFonts w:cs="Arial"/>
          <w:b/>
          <w:color w:val="000000"/>
        </w:rPr>
        <w:t>atenent</w:t>
      </w:r>
      <w:proofErr w:type="spellEnd"/>
      <w:r w:rsidRPr="00C1367E">
        <w:rPr>
          <w:rFonts w:cs="Arial"/>
          <w:b/>
          <w:color w:val="000000"/>
        </w:rPr>
        <w:t xml:space="preserve"> a </w:t>
      </w:r>
      <w:proofErr w:type="spellStart"/>
      <w:r w:rsidRPr="00C1367E">
        <w:rPr>
          <w:rFonts w:cs="Arial"/>
          <w:b/>
          <w:color w:val="000000"/>
        </w:rPr>
        <w:t>l’ús</w:t>
      </w:r>
      <w:proofErr w:type="spellEnd"/>
      <w:r w:rsidRPr="00C1367E">
        <w:rPr>
          <w:rFonts w:cs="Arial"/>
          <w:b/>
          <w:color w:val="000000"/>
        </w:rPr>
        <w:t xml:space="preserve"> </w:t>
      </w:r>
      <w:proofErr w:type="spellStart"/>
      <w:r w:rsidRPr="00C1367E">
        <w:rPr>
          <w:rFonts w:cs="Arial"/>
          <w:b/>
          <w:color w:val="000000"/>
        </w:rPr>
        <w:t>establit</w:t>
      </w:r>
      <w:proofErr w:type="spellEnd"/>
      <w:r w:rsidRPr="00C1367E">
        <w:rPr>
          <w:rFonts w:cs="Arial"/>
          <w:b/>
          <w:color w:val="000000"/>
        </w:rPr>
        <w:t xml:space="preserve"> en la normativa </w:t>
      </w:r>
      <w:proofErr w:type="spellStart"/>
      <w:r w:rsidRPr="00C1367E">
        <w:rPr>
          <w:rFonts w:cs="Arial"/>
          <w:b/>
          <w:color w:val="000000"/>
        </w:rPr>
        <w:t>cadastral</w:t>
      </w:r>
      <w:proofErr w:type="spellEnd"/>
      <w:r w:rsidRPr="00C1367E">
        <w:rPr>
          <w:rFonts w:cs="Arial"/>
          <w:b/>
          <w:color w:val="000000"/>
        </w:rPr>
        <w:t xml:space="preserve"> per a la </w:t>
      </w:r>
      <w:proofErr w:type="spellStart"/>
      <w:r w:rsidRPr="00C1367E">
        <w:rPr>
          <w:rFonts w:cs="Arial"/>
          <w:b/>
          <w:color w:val="000000"/>
        </w:rPr>
        <w:t>valoració</w:t>
      </w:r>
      <w:proofErr w:type="spellEnd"/>
      <w:r w:rsidRPr="00C1367E">
        <w:rPr>
          <w:rFonts w:cs="Arial"/>
          <w:b/>
          <w:color w:val="000000"/>
        </w:rPr>
        <w:t xml:space="preserve"> de les </w:t>
      </w:r>
      <w:proofErr w:type="spellStart"/>
      <w:r w:rsidRPr="00C1367E">
        <w:rPr>
          <w:rFonts w:cs="Arial"/>
          <w:b/>
          <w:color w:val="000000"/>
        </w:rPr>
        <w:t>construccions</w:t>
      </w:r>
      <w:proofErr w:type="spellEnd"/>
      <w:r w:rsidRPr="00C1367E">
        <w:rPr>
          <w:rFonts w:cs="Arial"/>
          <w:b/>
          <w:color w:val="000000"/>
        </w:rPr>
        <w:t xml:space="preserve">, </w:t>
      </w:r>
      <w:proofErr w:type="spellStart"/>
      <w:r w:rsidRPr="00C1367E">
        <w:rPr>
          <w:rFonts w:cs="Arial"/>
          <w:b/>
          <w:color w:val="000000"/>
        </w:rPr>
        <w:t>excloent</w:t>
      </w:r>
      <w:proofErr w:type="spellEnd"/>
      <w:r w:rsidRPr="00C1367E">
        <w:rPr>
          <w:rFonts w:cs="Arial"/>
          <w:b/>
          <w:color w:val="000000"/>
        </w:rPr>
        <w:t xml:space="preserve"> </w:t>
      </w:r>
      <w:proofErr w:type="spellStart"/>
      <w:r w:rsidRPr="00C1367E">
        <w:rPr>
          <w:rFonts w:cs="Arial"/>
          <w:b/>
          <w:color w:val="000000"/>
        </w:rPr>
        <w:t>als</w:t>
      </w:r>
      <w:proofErr w:type="spellEnd"/>
      <w:r w:rsidRPr="00C1367E">
        <w:rPr>
          <w:rFonts w:cs="Arial"/>
          <w:b/>
          <w:color w:val="000000"/>
        </w:rPr>
        <w:t xml:space="preserve"> </w:t>
      </w:r>
      <w:proofErr w:type="spellStart"/>
      <w:r w:rsidRPr="00C1367E">
        <w:rPr>
          <w:rFonts w:cs="Arial"/>
          <w:b/>
          <w:color w:val="000000"/>
        </w:rPr>
        <w:t>d’ús</w:t>
      </w:r>
      <w:proofErr w:type="spellEnd"/>
      <w:r w:rsidRPr="00C1367E">
        <w:rPr>
          <w:rFonts w:cs="Arial"/>
          <w:b/>
          <w:color w:val="000000"/>
        </w:rPr>
        <w:t xml:space="preserve"> residencial:</w:t>
      </w:r>
    </w:p>
    <w:tbl>
      <w:tblPr>
        <w:tblW w:w="7320" w:type="dxa"/>
        <w:jc w:val="center"/>
        <w:tblInd w:w="-12" w:type="dxa"/>
        <w:tblLayout w:type="fixed"/>
        <w:tblLook w:val="0000"/>
      </w:tblPr>
      <w:tblGrid>
        <w:gridCol w:w="12"/>
        <w:gridCol w:w="2028"/>
        <w:gridCol w:w="2520"/>
        <w:gridCol w:w="2760"/>
      </w:tblGrid>
      <w:tr w:rsidR="00867446" w:rsidRPr="00C1367E" w:rsidTr="004B4027">
        <w:trPr>
          <w:trHeight w:val="157"/>
          <w:jc w:val="center"/>
        </w:trPr>
        <w:tc>
          <w:tcPr>
            <w:tcW w:w="2040" w:type="dxa"/>
            <w:gridSpan w:val="2"/>
            <w:vAlign w:val="center"/>
          </w:tcPr>
          <w:p w:rsidR="00867446" w:rsidRPr="00C1367E" w:rsidRDefault="00867446" w:rsidP="004B4027">
            <w:pPr>
              <w:rPr>
                <w:rFonts w:cs="Arial"/>
                <w:b/>
                <w:color w:val="000000"/>
              </w:rPr>
            </w:pPr>
            <w:proofErr w:type="spellStart"/>
            <w:r w:rsidRPr="00C1367E">
              <w:rPr>
                <w:rFonts w:cs="Arial"/>
                <w:b/>
                <w:color w:val="000000"/>
                <w:u w:val="single"/>
              </w:rPr>
              <w:t>Ús</w:t>
            </w:r>
            <w:proofErr w:type="spellEnd"/>
            <w:r w:rsidRPr="00C1367E">
              <w:rPr>
                <w:rFonts w:cs="Arial"/>
                <w:b/>
                <w:color w:val="000000"/>
                <w:u w:val="single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867446" w:rsidRPr="00C1367E" w:rsidRDefault="00867446" w:rsidP="004B4027">
            <w:pPr>
              <w:rPr>
                <w:rFonts w:cs="Arial"/>
                <w:b/>
                <w:color w:val="000000"/>
              </w:rPr>
            </w:pPr>
            <w:proofErr w:type="spellStart"/>
            <w:r w:rsidRPr="00C1367E">
              <w:rPr>
                <w:rFonts w:cs="Arial"/>
                <w:b/>
                <w:color w:val="000000"/>
                <w:u w:val="single"/>
              </w:rPr>
              <w:t>Tipus</w:t>
            </w:r>
            <w:proofErr w:type="spellEnd"/>
            <w:r w:rsidRPr="00C1367E">
              <w:rPr>
                <w:rFonts w:cs="Arial"/>
                <w:b/>
                <w:color w:val="000000"/>
                <w:u w:val="single"/>
              </w:rPr>
              <w:t xml:space="preserve"> a aplicar </w:t>
            </w:r>
          </w:p>
        </w:tc>
        <w:tc>
          <w:tcPr>
            <w:tcW w:w="2760" w:type="dxa"/>
            <w:vAlign w:val="center"/>
          </w:tcPr>
          <w:p w:rsidR="00867446" w:rsidRPr="00C1367E" w:rsidRDefault="00867446" w:rsidP="004B4027">
            <w:pPr>
              <w:jc w:val="right"/>
              <w:rPr>
                <w:rFonts w:cs="Arial"/>
                <w:b/>
                <w:color w:val="000000"/>
                <w:u w:val="single"/>
              </w:rPr>
            </w:pPr>
            <w:proofErr w:type="spellStart"/>
            <w:r w:rsidRPr="00C1367E">
              <w:rPr>
                <w:rFonts w:cs="Arial"/>
                <w:b/>
                <w:color w:val="000000"/>
                <w:u w:val="single"/>
              </w:rPr>
              <w:t>Llindar</w:t>
            </w:r>
            <w:proofErr w:type="spellEnd"/>
            <w:r w:rsidRPr="00C1367E">
              <w:rPr>
                <w:rFonts w:cs="Arial"/>
                <w:b/>
                <w:color w:val="000000"/>
                <w:u w:val="single"/>
              </w:rPr>
              <w:t xml:space="preserve"> de valor </w:t>
            </w:r>
            <w:proofErr w:type="spellStart"/>
            <w:r w:rsidRPr="00C1367E">
              <w:rPr>
                <w:rFonts w:cs="Arial"/>
                <w:b/>
                <w:color w:val="000000"/>
                <w:u w:val="single"/>
              </w:rPr>
              <w:t>cadastral</w:t>
            </w:r>
            <w:proofErr w:type="spellEnd"/>
            <w:r w:rsidRPr="00C1367E">
              <w:rPr>
                <w:rFonts w:cs="Arial"/>
                <w:b/>
                <w:color w:val="000000"/>
                <w:u w:val="single"/>
              </w:rPr>
              <w:t xml:space="preserve"> (en euros)</w:t>
            </w:r>
          </w:p>
        </w:tc>
      </w:tr>
      <w:tr w:rsidR="00867446" w:rsidRPr="00C1367E" w:rsidTr="004B4027">
        <w:trPr>
          <w:gridBefore w:val="1"/>
          <w:wBefore w:w="12" w:type="dxa"/>
          <w:trHeight w:val="157"/>
          <w:jc w:val="center"/>
        </w:trPr>
        <w:tc>
          <w:tcPr>
            <w:tcW w:w="2028" w:type="dxa"/>
          </w:tcPr>
          <w:p w:rsidR="00867446" w:rsidRPr="00C1367E" w:rsidRDefault="00867446" w:rsidP="004B4027">
            <w:pPr>
              <w:rPr>
                <w:rFonts w:cs="Arial"/>
                <w:b/>
                <w:color w:val="000000"/>
              </w:rPr>
            </w:pPr>
            <w:r w:rsidRPr="00C1367E">
              <w:rPr>
                <w:rFonts w:cs="Arial"/>
                <w:b/>
                <w:color w:val="000000"/>
              </w:rPr>
              <w:t xml:space="preserve">Comercial </w:t>
            </w:r>
          </w:p>
        </w:tc>
        <w:tc>
          <w:tcPr>
            <w:tcW w:w="2520" w:type="dxa"/>
          </w:tcPr>
          <w:p w:rsidR="00867446" w:rsidRPr="00C1367E" w:rsidRDefault="00867446" w:rsidP="004B4027">
            <w:pPr>
              <w:rPr>
                <w:rFonts w:cs="Arial"/>
                <w:b/>
                <w:color w:val="000000"/>
              </w:rPr>
            </w:pPr>
            <w:r w:rsidRPr="00C1367E">
              <w:rPr>
                <w:rFonts w:cs="Arial"/>
                <w:b/>
                <w:color w:val="000000"/>
              </w:rPr>
              <w:t>1,1</w:t>
            </w:r>
            <w:r>
              <w:rPr>
                <w:rFonts w:cs="Arial"/>
                <w:b/>
                <w:color w:val="000000"/>
              </w:rPr>
              <w:t>748</w:t>
            </w:r>
            <w:r w:rsidRPr="00C1367E">
              <w:rPr>
                <w:rFonts w:cs="Arial"/>
                <w:b/>
                <w:color w:val="000000"/>
              </w:rPr>
              <w:t xml:space="preserve"> per cent </w:t>
            </w:r>
          </w:p>
        </w:tc>
        <w:tc>
          <w:tcPr>
            <w:tcW w:w="2760" w:type="dxa"/>
          </w:tcPr>
          <w:p w:rsidR="00867446" w:rsidRPr="00C1367E" w:rsidRDefault="00867446" w:rsidP="004B4027">
            <w:pPr>
              <w:jc w:val="right"/>
              <w:rPr>
                <w:rFonts w:cs="Arial"/>
                <w:b/>
                <w:color w:val="000000"/>
              </w:rPr>
            </w:pPr>
            <w:r w:rsidRPr="00C1367E">
              <w:rPr>
                <w:rFonts w:cs="Arial"/>
                <w:b/>
                <w:color w:val="000000"/>
              </w:rPr>
              <w:t xml:space="preserve">   1</w:t>
            </w:r>
            <w:r>
              <w:rPr>
                <w:rFonts w:cs="Arial"/>
                <w:b/>
                <w:color w:val="000000"/>
              </w:rPr>
              <w:t>79.731</w:t>
            </w:r>
            <w:r w:rsidRPr="00C1367E">
              <w:rPr>
                <w:rFonts w:cs="Arial"/>
                <w:b/>
                <w:color w:val="000000"/>
              </w:rPr>
              <w:t xml:space="preserve">,00 </w:t>
            </w:r>
          </w:p>
        </w:tc>
      </w:tr>
      <w:tr w:rsidR="00867446" w:rsidRPr="00C1367E" w:rsidTr="004B4027">
        <w:trPr>
          <w:gridBefore w:val="1"/>
          <w:wBefore w:w="12" w:type="dxa"/>
          <w:trHeight w:val="157"/>
          <w:jc w:val="center"/>
        </w:trPr>
        <w:tc>
          <w:tcPr>
            <w:tcW w:w="2028" w:type="dxa"/>
          </w:tcPr>
          <w:p w:rsidR="00867446" w:rsidRPr="00C1367E" w:rsidRDefault="00867446" w:rsidP="004B4027">
            <w:pPr>
              <w:rPr>
                <w:rFonts w:cs="Arial"/>
                <w:b/>
                <w:color w:val="000000"/>
              </w:rPr>
            </w:pPr>
            <w:proofErr w:type="spellStart"/>
            <w:r w:rsidRPr="00C1367E">
              <w:rPr>
                <w:rFonts w:cs="Arial"/>
                <w:b/>
                <w:color w:val="000000"/>
              </w:rPr>
              <w:t>Oci</w:t>
            </w:r>
            <w:proofErr w:type="spellEnd"/>
            <w:r w:rsidRPr="00C1367E">
              <w:rPr>
                <w:rFonts w:cs="Arial"/>
                <w:b/>
                <w:color w:val="000000"/>
              </w:rPr>
              <w:t xml:space="preserve"> i </w:t>
            </w:r>
            <w:proofErr w:type="spellStart"/>
            <w:r w:rsidRPr="00C1367E">
              <w:rPr>
                <w:rFonts w:cs="Arial"/>
                <w:b/>
                <w:color w:val="000000"/>
              </w:rPr>
              <w:t>hostaleria</w:t>
            </w:r>
            <w:proofErr w:type="spellEnd"/>
            <w:r w:rsidRPr="00C1367E">
              <w:rPr>
                <w:rFonts w:cs="Arial"/>
                <w:b/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867446" w:rsidRPr="00C1367E" w:rsidRDefault="00867446" w:rsidP="004B4027">
            <w:pPr>
              <w:rPr>
                <w:rFonts w:cs="Arial"/>
                <w:b/>
                <w:color w:val="000000"/>
              </w:rPr>
            </w:pPr>
            <w:r w:rsidRPr="00C1367E">
              <w:rPr>
                <w:rFonts w:cs="Arial"/>
                <w:b/>
                <w:color w:val="000000"/>
              </w:rPr>
              <w:t>1,</w:t>
            </w:r>
            <w:r>
              <w:rPr>
                <w:rFonts w:cs="Arial"/>
                <w:b/>
                <w:color w:val="000000"/>
              </w:rPr>
              <w:t>1748</w:t>
            </w:r>
            <w:r w:rsidRPr="00C1367E">
              <w:rPr>
                <w:rFonts w:cs="Arial"/>
                <w:b/>
                <w:color w:val="000000"/>
              </w:rPr>
              <w:t xml:space="preserve"> per cent</w:t>
            </w:r>
          </w:p>
        </w:tc>
        <w:tc>
          <w:tcPr>
            <w:tcW w:w="2760" w:type="dxa"/>
          </w:tcPr>
          <w:p w:rsidR="00867446" w:rsidRPr="00C1367E" w:rsidRDefault="00867446" w:rsidP="004B4027">
            <w:pPr>
              <w:jc w:val="right"/>
              <w:rPr>
                <w:rFonts w:cs="Arial"/>
                <w:b/>
                <w:color w:val="000000"/>
              </w:rPr>
            </w:pPr>
            <w:r w:rsidRPr="00C1367E">
              <w:rPr>
                <w:rFonts w:cs="Arial"/>
                <w:b/>
                <w:color w:val="000000"/>
              </w:rPr>
              <w:t>1.5</w:t>
            </w:r>
            <w:r>
              <w:rPr>
                <w:rFonts w:cs="Arial"/>
                <w:b/>
                <w:color w:val="000000"/>
              </w:rPr>
              <w:t>01</w:t>
            </w:r>
            <w:r w:rsidRPr="00C1367E">
              <w:rPr>
                <w:rFonts w:cs="Arial"/>
                <w:b/>
                <w:color w:val="000000"/>
              </w:rPr>
              <w:t>.</w:t>
            </w:r>
            <w:r>
              <w:rPr>
                <w:rFonts w:cs="Arial"/>
                <w:b/>
                <w:color w:val="000000"/>
              </w:rPr>
              <w:t>44</w:t>
            </w:r>
            <w:r w:rsidRPr="00C1367E">
              <w:rPr>
                <w:rFonts w:cs="Arial"/>
                <w:b/>
                <w:color w:val="000000"/>
              </w:rPr>
              <w:t xml:space="preserve">0,00 </w:t>
            </w:r>
          </w:p>
        </w:tc>
      </w:tr>
      <w:tr w:rsidR="00867446" w:rsidRPr="009B457C" w:rsidTr="004B4027">
        <w:trPr>
          <w:gridBefore w:val="1"/>
          <w:wBefore w:w="12" w:type="dxa"/>
          <w:trHeight w:val="157"/>
          <w:jc w:val="center"/>
        </w:trPr>
        <w:tc>
          <w:tcPr>
            <w:tcW w:w="2028" w:type="dxa"/>
          </w:tcPr>
          <w:p w:rsidR="00867446" w:rsidRPr="00C1367E" w:rsidRDefault="00867446" w:rsidP="004B4027">
            <w:pPr>
              <w:rPr>
                <w:rFonts w:cs="Arial"/>
                <w:b/>
                <w:color w:val="000000"/>
              </w:rPr>
            </w:pPr>
            <w:r w:rsidRPr="00C1367E">
              <w:rPr>
                <w:rFonts w:cs="Arial"/>
                <w:b/>
                <w:color w:val="000000"/>
              </w:rPr>
              <w:t xml:space="preserve">Industrial </w:t>
            </w:r>
          </w:p>
        </w:tc>
        <w:tc>
          <w:tcPr>
            <w:tcW w:w="2520" w:type="dxa"/>
          </w:tcPr>
          <w:p w:rsidR="00867446" w:rsidRPr="00C1367E" w:rsidRDefault="00867446" w:rsidP="004B4027">
            <w:pPr>
              <w:rPr>
                <w:rFonts w:cs="Arial"/>
                <w:b/>
                <w:color w:val="000000"/>
              </w:rPr>
            </w:pPr>
            <w:r w:rsidRPr="00C1367E">
              <w:rPr>
                <w:rFonts w:cs="Arial"/>
                <w:b/>
                <w:color w:val="000000"/>
              </w:rPr>
              <w:t>1,</w:t>
            </w:r>
            <w:r>
              <w:rPr>
                <w:rFonts w:cs="Arial"/>
                <w:b/>
                <w:color w:val="000000"/>
              </w:rPr>
              <w:t>1748</w:t>
            </w:r>
            <w:r w:rsidRPr="00C1367E">
              <w:rPr>
                <w:rFonts w:cs="Arial"/>
                <w:b/>
                <w:color w:val="000000"/>
              </w:rPr>
              <w:t xml:space="preserve"> per cent </w:t>
            </w:r>
          </w:p>
        </w:tc>
        <w:tc>
          <w:tcPr>
            <w:tcW w:w="2760" w:type="dxa"/>
          </w:tcPr>
          <w:p w:rsidR="00867446" w:rsidRPr="00C1367E" w:rsidRDefault="00867446" w:rsidP="004B4027">
            <w:pPr>
              <w:jc w:val="right"/>
              <w:rPr>
                <w:rFonts w:cs="Arial"/>
                <w:b/>
                <w:color w:val="000000"/>
              </w:rPr>
            </w:pPr>
            <w:r w:rsidRPr="00C1367E">
              <w:rPr>
                <w:rFonts w:cs="Arial"/>
                <w:b/>
                <w:color w:val="000000"/>
              </w:rPr>
              <w:t xml:space="preserve">   </w:t>
            </w:r>
            <w:r>
              <w:rPr>
                <w:rFonts w:cs="Arial"/>
                <w:b/>
                <w:color w:val="000000"/>
              </w:rPr>
              <w:t>529.920</w:t>
            </w:r>
            <w:r w:rsidRPr="00C1367E">
              <w:rPr>
                <w:rFonts w:cs="Arial"/>
                <w:b/>
                <w:color w:val="000000"/>
              </w:rPr>
              <w:t xml:space="preserve">,00 </w:t>
            </w:r>
          </w:p>
        </w:tc>
      </w:tr>
      <w:tr w:rsidR="00867446" w:rsidRPr="009B457C" w:rsidTr="004B4027">
        <w:trPr>
          <w:gridBefore w:val="1"/>
          <w:wBefore w:w="12" w:type="dxa"/>
          <w:trHeight w:val="157"/>
          <w:jc w:val="center"/>
        </w:trPr>
        <w:tc>
          <w:tcPr>
            <w:tcW w:w="2028" w:type="dxa"/>
          </w:tcPr>
          <w:p w:rsidR="00867446" w:rsidRPr="00C1367E" w:rsidRDefault="00867446" w:rsidP="004B4027">
            <w:pPr>
              <w:rPr>
                <w:rFonts w:cs="Arial"/>
                <w:b/>
                <w:color w:val="000000"/>
              </w:rPr>
            </w:pPr>
            <w:proofErr w:type="spellStart"/>
            <w:r w:rsidRPr="00C1367E">
              <w:rPr>
                <w:rFonts w:cs="Arial"/>
                <w:b/>
                <w:color w:val="000000"/>
              </w:rPr>
              <w:t>Oficines</w:t>
            </w:r>
            <w:proofErr w:type="spellEnd"/>
            <w:r w:rsidRPr="00C1367E">
              <w:rPr>
                <w:rFonts w:cs="Arial"/>
                <w:b/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867446" w:rsidRPr="00C1367E" w:rsidRDefault="00867446" w:rsidP="004B4027">
            <w:pPr>
              <w:rPr>
                <w:rFonts w:cs="Arial"/>
                <w:b/>
                <w:color w:val="000000"/>
              </w:rPr>
            </w:pPr>
            <w:r w:rsidRPr="00C1367E">
              <w:rPr>
                <w:rFonts w:cs="Arial"/>
                <w:b/>
                <w:color w:val="000000"/>
              </w:rPr>
              <w:t>1,1</w:t>
            </w:r>
            <w:r>
              <w:rPr>
                <w:rFonts w:cs="Arial"/>
                <w:b/>
                <w:color w:val="000000"/>
              </w:rPr>
              <w:t>748</w:t>
            </w:r>
            <w:r w:rsidRPr="00C1367E">
              <w:rPr>
                <w:rFonts w:cs="Arial"/>
                <w:b/>
                <w:color w:val="000000"/>
              </w:rPr>
              <w:t xml:space="preserve"> per cent </w:t>
            </w:r>
          </w:p>
        </w:tc>
        <w:tc>
          <w:tcPr>
            <w:tcW w:w="2760" w:type="dxa"/>
          </w:tcPr>
          <w:p w:rsidR="00867446" w:rsidRPr="00C1367E" w:rsidRDefault="00867446" w:rsidP="004B4027">
            <w:pPr>
              <w:jc w:val="right"/>
              <w:rPr>
                <w:rFonts w:cs="Arial"/>
                <w:b/>
                <w:color w:val="000000"/>
              </w:rPr>
            </w:pPr>
            <w:r w:rsidRPr="00C1367E">
              <w:rPr>
                <w:rFonts w:cs="Arial"/>
                <w:b/>
                <w:color w:val="000000"/>
              </w:rPr>
              <w:t xml:space="preserve">   2</w:t>
            </w:r>
            <w:r>
              <w:rPr>
                <w:rFonts w:cs="Arial"/>
                <w:b/>
                <w:color w:val="000000"/>
              </w:rPr>
              <w:t>11.968</w:t>
            </w:r>
            <w:r w:rsidRPr="00C1367E">
              <w:rPr>
                <w:rFonts w:cs="Arial"/>
                <w:b/>
                <w:color w:val="000000"/>
              </w:rPr>
              <w:t xml:space="preserve">,00  </w:t>
            </w:r>
          </w:p>
        </w:tc>
      </w:tr>
      <w:tr w:rsidR="00867446" w:rsidRPr="009B457C" w:rsidTr="004B4027">
        <w:trPr>
          <w:gridBefore w:val="1"/>
          <w:wBefore w:w="12" w:type="dxa"/>
          <w:trHeight w:val="157"/>
          <w:jc w:val="center"/>
        </w:trPr>
        <w:tc>
          <w:tcPr>
            <w:tcW w:w="2028" w:type="dxa"/>
          </w:tcPr>
          <w:p w:rsidR="00867446" w:rsidRPr="00C1367E" w:rsidRDefault="00867446" w:rsidP="004B4027">
            <w:pPr>
              <w:rPr>
                <w:rFonts w:cs="Arial"/>
                <w:b/>
                <w:color w:val="000000"/>
              </w:rPr>
            </w:pPr>
            <w:proofErr w:type="spellStart"/>
            <w:r w:rsidRPr="00C1367E">
              <w:rPr>
                <w:rFonts w:cs="Arial"/>
                <w:b/>
                <w:color w:val="000000"/>
              </w:rPr>
              <w:t>Sanitat</w:t>
            </w:r>
            <w:proofErr w:type="spellEnd"/>
            <w:r w:rsidRPr="00C1367E">
              <w:rPr>
                <w:rFonts w:cs="Arial"/>
                <w:b/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867446" w:rsidRPr="00C1367E" w:rsidRDefault="00867446" w:rsidP="004B4027">
            <w:pPr>
              <w:rPr>
                <w:rFonts w:cs="Arial"/>
                <w:b/>
                <w:color w:val="000000"/>
              </w:rPr>
            </w:pPr>
            <w:r w:rsidRPr="00C1367E">
              <w:rPr>
                <w:rFonts w:cs="Arial"/>
                <w:b/>
                <w:color w:val="000000"/>
              </w:rPr>
              <w:t>1,1</w:t>
            </w:r>
            <w:r>
              <w:rPr>
                <w:rFonts w:cs="Arial"/>
                <w:b/>
                <w:color w:val="000000"/>
              </w:rPr>
              <w:t>748</w:t>
            </w:r>
            <w:r w:rsidRPr="00C1367E">
              <w:rPr>
                <w:rFonts w:cs="Arial"/>
                <w:b/>
                <w:color w:val="000000"/>
              </w:rPr>
              <w:t xml:space="preserve"> per cent</w:t>
            </w:r>
          </w:p>
        </w:tc>
        <w:tc>
          <w:tcPr>
            <w:tcW w:w="2760" w:type="dxa"/>
          </w:tcPr>
          <w:p w:rsidR="00867446" w:rsidRPr="00C1367E" w:rsidRDefault="00867446" w:rsidP="004B4027">
            <w:pPr>
              <w:jc w:val="right"/>
              <w:rPr>
                <w:rFonts w:cs="Arial"/>
                <w:b/>
                <w:color w:val="000000"/>
              </w:rPr>
            </w:pPr>
            <w:r w:rsidRPr="00C1367E">
              <w:rPr>
                <w:rFonts w:cs="Arial"/>
                <w:b/>
                <w:color w:val="000000"/>
              </w:rPr>
              <w:t>3.</w:t>
            </w:r>
            <w:r>
              <w:rPr>
                <w:rFonts w:cs="Arial"/>
                <w:b/>
                <w:color w:val="000000"/>
              </w:rPr>
              <w:t>002</w:t>
            </w:r>
            <w:r w:rsidRPr="00C1367E">
              <w:rPr>
                <w:rFonts w:cs="Arial"/>
                <w:b/>
                <w:color w:val="000000"/>
              </w:rPr>
              <w:t>.</w:t>
            </w:r>
            <w:r>
              <w:rPr>
                <w:rFonts w:cs="Arial"/>
                <w:b/>
                <w:color w:val="000000"/>
              </w:rPr>
              <w:t>88</w:t>
            </w:r>
            <w:r w:rsidRPr="00C1367E">
              <w:rPr>
                <w:rFonts w:cs="Arial"/>
                <w:b/>
                <w:color w:val="000000"/>
              </w:rPr>
              <w:t xml:space="preserve">0,00  </w:t>
            </w:r>
          </w:p>
        </w:tc>
      </w:tr>
      <w:tr w:rsidR="00867446" w:rsidRPr="009B457C" w:rsidTr="004B4027">
        <w:trPr>
          <w:gridBefore w:val="1"/>
          <w:wBefore w:w="12" w:type="dxa"/>
          <w:trHeight w:val="157"/>
          <w:jc w:val="center"/>
        </w:trPr>
        <w:tc>
          <w:tcPr>
            <w:tcW w:w="2028" w:type="dxa"/>
          </w:tcPr>
          <w:p w:rsidR="00867446" w:rsidRPr="00C1367E" w:rsidRDefault="00867446" w:rsidP="004B402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867446" w:rsidRPr="00C1367E" w:rsidRDefault="00867446" w:rsidP="004B402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2760" w:type="dxa"/>
          </w:tcPr>
          <w:p w:rsidR="00867446" w:rsidRPr="00C1367E" w:rsidRDefault="00867446" w:rsidP="004B4027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</w:tbl>
    <w:p w:rsidR="00867446" w:rsidRDefault="00867446" w:rsidP="00867446">
      <w:pPr>
        <w:pStyle w:val="Default"/>
        <w:jc w:val="both"/>
        <w:rPr>
          <w:sz w:val="22"/>
          <w:szCs w:val="20"/>
          <w:lang w:val="ca-ES"/>
        </w:rPr>
      </w:pPr>
      <w:r w:rsidRPr="00C1367E">
        <w:rPr>
          <w:sz w:val="22"/>
          <w:szCs w:val="20"/>
          <w:lang w:val="ca-ES"/>
        </w:rPr>
        <w:t xml:space="preserve">Els tipus diferenciats anteriors s'aplicaran al 10 per cent dels béns urbans que, per a cada u dels usos indicats, </w:t>
      </w:r>
      <w:proofErr w:type="spellStart"/>
      <w:r w:rsidRPr="00C1367E">
        <w:rPr>
          <w:sz w:val="22"/>
          <w:szCs w:val="20"/>
          <w:lang w:val="ca-ES"/>
        </w:rPr>
        <w:t>tinga</w:t>
      </w:r>
      <w:proofErr w:type="spellEnd"/>
      <w:r w:rsidRPr="00C1367E">
        <w:rPr>
          <w:sz w:val="22"/>
          <w:szCs w:val="20"/>
          <w:lang w:val="ca-ES"/>
        </w:rPr>
        <w:t xml:space="preserve"> major valor cadastral, d’acord amb allò que disposa l’apartat 4 de l’article 72 del text refós de la Llei d’Hisendes Locals. </w:t>
      </w:r>
    </w:p>
    <w:p w:rsidR="00867446" w:rsidRPr="00C1367E" w:rsidRDefault="00867446" w:rsidP="00867446">
      <w:pPr>
        <w:pStyle w:val="Default"/>
        <w:jc w:val="both"/>
        <w:rPr>
          <w:sz w:val="22"/>
          <w:szCs w:val="20"/>
          <w:lang w:val="ca-ES"/>
        </w:rPr>
      </w:pPr>
    </w:p>
    <w:p w:rsidR="00867446" w:rsidRPr="00C1367E" w:rsidRDefault="00867446" w:rsidP="008674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</w:rPr>
      </w:pPr>
      <w:proofErr w:type="spellStart"/>
      <w:r w:rsidRPr="00C1367E">
        <w:rPr>
          <w:rFonts w:cs="Arial"/>
        </w:rPr>
        <w:t>Quant</w:t>
      </w:r>
      <w:proofErr w:type="spellEnd"/>
      <w:r w:rsidRPr="00C1367E">
        <w:rPr>
          <w:rFonts w:cs="Arial"/>
        </w:rPr>
        <w:t xml:space="preserve"> </w:t>
      </w:r>
      <w:proofErr w:type="spellStart"/>
      <w:r w:rsidRPr="00C1367E">
        <w:rPr>
          <w:rFonts w:cs="Arial"/>
        </w:rPr>
        <w:t>els</w:t>
      </w:r>
      <w:proofErr w:type="spellEnd"/>
      <w:r w:rsidRPr="00C1367E">
        <w:rPr>
          <w:rFonts w:cs="Arial"/>
        </w:rPr>
        <w:t xml:space="preserve"> </w:t>
      </w:r>
      <w:proofErr w:type="spellStart"/>
      <w:r>
        <w:rPr>
          <w:rFonts w:cs="Arial"/>
        </w:rPr>
        <w:t>immobles</w:t>
      </w:r>
      <w:proofErr w:type="spellEnd"/>
      <w:r>
        <w:rPr>
          <w:rFonts w:cs="Arial"/>
        </w:rPr>
        <w:t xml:space="preserve"> tinguen </w:t>
      </w:r>
      <w:proofErr w:type="spellStart"/>
      <w:r>
        <w:rPr>
          <w:rFonts w:cs="Arial"/>
        </w:rPr>
        <w:t>atribuïts</w:t>
      </w:r>
      <w:proofErr w:type="spellEnd"/>
      <w:r>
        <w:rPr>
          <w:rFonts w:cs="Arial"/>
        </w:rPr>
        <w:t xml:space="preserve"> diverso</w:t>
      </w:r>
      <w:r w:rsidRPr="00C1367E">
        <w:rPr>
          <w:rFonts w:cs="Arial"/>
        </w:rPr>
        <w:t xml:space="preserve">s usos, </w:t>
      </w:r>
      <w:proofErr w:type="spellStart"/>
      <w:r w:rsidRPr="00C1367E">
        <w:rPr>
          <w:rFonts w:cs="Arial"/>
        </w:rPr>
        <w:t>s’aplicarà</w:t>
      </w:r>
      <w:proofErr w:type="spellEnd"/>
      <w:r w:rsidRPr="00C1367E">
        <w:rPr>
          <w:rFonts w:cs="Arial"/>
        </w:rPr>
        <w:t xml:space="preserve"> el </w:t>
      </w:r>
      <w:proofErr w:type="spellStart"/>
      <w:r w:rsidRPr="00C1367E">
        <w:rPr>
          <w:rFonts w:cs="Arial"/>
        </w:rPr>
        <w:t>tipus</w:t>
      </w:r>
      <w:proofErr w:type="spellEnd"/>
      <w:r w:rsidRPr="00C1367E">
        <w:rPr>
          <w:rFonts w:cs="Arial"/>
        </w:rPr>
        <w:t xml:space="preserve"> </w:t>
      </w:r>
      <w:proofErr w:type="spellStart"/>
      <w:r w:rsidRPr="00C1367E">
        <w:rPr>
          <w:rFonts w:cs="Arial"/>
        </w:rPr>
        <w:t>corresponent</w:t>
      </w:r>
      <w:proofErr w:type="spellEnd"/>
      <w:r w:rsidRPr="00C1367E">
        <w:rPr>
          <w:rFonts w:cs="Arial"/>
        </w:rPr>
        <w:t xml:space="preserve"> a </w:t>
      </w:r>
      <w:proofErr w:type="spellStart"/>
      <w:r w:rsidRPr="00C1367E">
        <w:rPr>
          <w:rFonts w:cs="Arial"/>
        </w:rPr>
        <w:t>l’ús</w:t>
      </w:r>
      <w:proofErr w:type="spellEnd"/>
      <w:r w:rsidRPr="00C1367E">
        <w:rPr>
          <w:rFonts w:cs="Arial"/>
        </w:rPr>
        <w:t xml:space="preserve"> de </w:t>
      </w:r>
      <w:proofErr w:type="spellStart"/>
      <w:r w:rsidRPr="00C1367E">
        <w:rPr>
          <w:rFonts w:cs="Arial"/>
        </w:rPr>
        <w:t>l’edificació</w:t>
      </w:r>
      <w:proofErr w:type="spellEnd"/>
      <w:r w:rsidRPr="00C1367E">
        <w:rPr>
          <w:rFonts w:cs="Arial"/>
        </w:rPr>
        <w:t xml:space="preserve"> o </w:t>
      </w:r>
      <w:proofErr w:type="spellStart"/>
      <w:r w:rsidRPr="00C1367E">
        <w:rPr>
          <w:rFonts w:cs="Arial"/>
        </w:rPr>
        <w:t>dependència</w:t>
      </w:r>
      <w:proofErr w:type="spellEnd"/>
      <w:r w:rsidRPr="00C1367E">
        <w:rPr>
          <w:rFonts w:cs="Arial"/>
        </w:rPr>
        <w:t xml:space="preserve"> principal».</w:t>
      </w:r>
    </w:p>
    <w:p w:rsidR="00867446" w:rsidRDefault="00867446" w:rsidP="008674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:rsidR="00867446" w:rsidRPr="00156B65" w:rsidRDefault="00867446" w:rsidP="008674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 w:rsidRPr="00156B65">
        <w:rPr>
          <w:rFonts w:cs="Arial"/>
          <w:szCs w:val="22"/>
        </w:rPr>
        <w:t xml:space="preserve">SEGON. </w:t>
      </w:r>
      <w:proofErr w:type="spellStart"/>
      <w:r w:rsidRPr="00156B65">
        <w:rPr>
          <w:rFonts w:cs="Arial"/>
          <w:szCs w:val="22"/>
        </w:rPr>
        <w:t>Exposar</w:t>
      </w:r>
      <w:proofErr w:type="spellEnd"/>
      <w:r w:rsidRPr="00156B65">
        <w:rPr>
          <w:rFonts w:cs="Arial"/>
          <w:szCs w:val="22"/>
        </w:rPr>
        <w:t xml:space="preserve"> el </w:t>
      </w:r>
      <w:proofErr w:type="spellStart"/>
      <w:r w:rsidRPr="00156B65">
        <w:rPr>
          <w:rFonts w:cs="Arial"/>
          <w:szCs w:val="22"/>
        </w:rPr>
        <w:t>present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acord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pel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terme</w:t>
      </w:r>
      <w:proofErr w:type="spellEnd"/>
      <w:r w:rsidRPr="00156B65">
        <w:rPr>
          <w:rFonts w:cs="Arial"/>
          <w:szCs w:val="22"/>
        </w:rPr>
        <w:t xml:space="preserve"> de </w:t>
      </w:r>
      <w:proofErr w:type="spellStart"/>
      <w:r w:rsidRPr="00156B65">
        <w:rPr>
          <w:rFonts w:cs="Arial"/>
          <w:szCs w:val="22"/>
        </w:rPr>
        <w:t>trenta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dies</w:t>
      </w:r>
      <w:proofErr w:type="spellEnd"/>
      <w:r w:rsidRPr="00156B65">
        <w:rPr>
          <w:rFonts w:cs="Arial"/>
          <w:szCs w:val="22"/>
        </w:rPr>
        <w:t xml:space="preserve"> en el </w:t>
      </w:r>
      <w:proofErr w:type="spellStart"/>
      <w:r w:rsidRPr="004466AD">
        <w:rPr>
          <w:rFonts w:cs="Arial"/>
          <w:i/>
          <w:iCs/>
          <w:szCs w:val="22"/>
        </w:rPr>
        <w:t>Butlletí</w:t>
      </w:r>
      <w:proofErr w:type="spellEnd"/>
      <w:r w:rsidRPr="004466AD">
        <w:rPr>
          <w:rFonts w:cs="Arial"/>
          <w:i/>
          <w:iCs/>
          <w:szCs w:val="22"/>
        </w:rPr>
        <w:t xml:space="preserve"> Oficial de la </w:t>
      </w:r>
      <w:proofErr w:type="spellStart"/>
      <w:r>
        <w:rPr>
          <w:rFonts w:cs="Arial"/>
          <w:i/>
          <w:iCs/>
          <w:szCs w:val="22"/>
        </w:rPr>
        <w:t>P</w:t>
      </w:r>
      <w:r w:rsidRPr="004466AD">
        <w:rPr>
          <w:rFonts w:cs="Arial"/>
          <w:i/>
          <w:iCs/>
          <w:szCs w:val="22"/>
        </w:rPr>
        <w:t>rovíncia</w:t>
      </w:r>
      <w:proofErr w:type="spellEnd"/>
      <w:r w:rsidRPr="004466AD">
        <w:rPr>
          <w:rFonts w:cs="Arial"/>
          <w:i/>
          <w:iCs/>
          <w:szCs w:val="22"/>
        </w:rPr>
        <w:t xml:space="preserve"> de </w:t>
      </w:r>
      <w:proofErr w:type="spellStart"/>
      <w:r w:rsidRPr="004466AD">
        <w:rPr>
          <w:rFonts w:cs="Arial"/>
          <w:i/>
          <w:iCs/>
          <w:szCs w:val="22"/>
        </w:rPr>
        <w:t>València</w:t>
      </w:r>
      <w:proofErr w:type="spellEnd"/>
      <w:r w:rsidRPr="00156B65">
        <w:rPr>
          <w:rFonts w:cs="Arial"/>
          <w:szCs w:val="22"/>
        </w:rPr>
        <w:t xml:space="preserve"> i en el </w:t>
      </w:r>
      <w:proofErr w:type="spellStart"/>
      <w:r w:rsidRPr="00156B65">
        <w:rPr>
          <w:rFonts w:cs="Arial"/>
          <w:szCs w:val="22"/>
        </w:rPr>
        <w:t>tauler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d'anuncis</w:t>
      </w:r>
      <w:proofErr w:type="spellEnd"/>
      <w:r w:rsidRPr="00156B65">
        <w:rPr>
          <w:rFonts w:cs="Arial"/>
          <w:szCs w:val="22"/>
        </w:rPr>
        <w:t xml:space="preserve"> de la Casa Consistorial. </w:t>
      </w:r>
      <w:proofErr w:type="spellStart"/>
      <w:r w:rsidRPr="00156B65">
        <w:rPr>
          <w:rFonts w:cs="Arial"/>
          <w:szCs w:val="22"/>
        </w:rPr>
        <w:t>Finalitzada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l'exposició</w:t>
      </w:r>
      <w:proofErr w:type="spellEnd"/>
      <w:r w:rsidRPr="00156B65">
        <w:rPr>
          <w:rFonts w:cs="Arial"/>
          <w:szCs w:val="22"/>
        </w:rPr>
        <w:t xml:space="preserve"> pública, en el </w:t>
      </w:r>
      <w:proofErr w:type="spellStart"/>
      <w:r w:rsidRPr="00156B65">
        <w:rPr>
          <w:rFonts w:cs="Arial"/>
          <w:szCs w:val="22"/>
        </w:rPr>
        <w:t>cas</w:t>
      </w:r>
      <w:proofErr w:type="spellEnd"/>
      <w:r w:rsidRPr="00156B65">
        <w:rPr>
          <w:rFonts w:cs="Arial"/>
          <w:szCs w:val="22"/>
        </w:rPr>
        <w:t xml:space="preserve"> que no es presenten </w:t>
      </w:r>
      <w:proofErr w:type="spellStart"/>
      <w:r w:rsidRPr="00156B65">
        <w:rPr>
          <w:rFonts w:cs="Arial"/>
          <w:szCs w:val="22"/>
        </w:rPr>
        <w:t>reclamacions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s'entendrà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definitivament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adoptat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l'acord</w:t>
      </w:r>
      <w:proofErr w:type="spellEnd"/>
      <w:r w:rsidRPr="00156B65">
        <w:rPr>
          <w:rFonts w:cs="Arial"/>
          <w:szCs w:val="22"/>
        </w:rPr>
        <w:t xml:space="preserve">, </w:t>
      </w:r>
      <w:proofErr w:type="spellStart"/>
      <w:r w:rsidRPr="00156B65">
        <w:rPr>
          <w:rFonts w:cs="Arial"/>
          <w:szCs w:val="22"/>
        </w:rPr>
        <w:t>sense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necessitat</w:t>
      </w:r>
      <w:proofErr w:type="spellEnd"/>
      <w:r w:rsidRPr="00156B65">
        <w:rPr>
          <w:rFonts w:cs="Arial"/>
          <w:szCs w:val="22"/>
        </w:rPr>
        <w:t xml:space="preserve"> un </w:t>
      </w:r>
      <w:proofErr w:type="spellStart"/>
      <w:r w:rsidRPr="00156B65">
        <w:rPr>
          <w:rFonts w:cs="Arial"/>
          <w:szCs w:val="22"/>
        </w:rPr>
        <w:t>nou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acord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plenari</w:t>
      </w:r>
      <w:proofErr w:type="spellEnd"/>
      <w:r w:rsidRPr="00156B65">
        <w:rPr>
          <w:rFonts w:cs="Arial"/>
          <w:szCs w:val="22"/>
        </w:rPr>
        <w:t xml:space="preserve">, i es </w:t>
      </w:r>
      <w:proofErr w:type="spellStart"/>
      <w:r w:rsidRPr="00156B65">
        <w:rPr>
          <w:rFonts w:cs="Arial"/>
          <w:szCs w:val="22"/>
        </w:rPr>
        <w:t>publicarà</w:t>
      </w:r>
      <w:proofErr w:type="spellEnd"/>
      <w:r w:rsidRPr="00156B65">
        <w:rPr>
          <w:rFonts w:cs="Arial"/>
          <w:szCs w:val="22"/>
        </w:rPr>
        <w:t xml:space="preserve"> en forma </w:t>
      </w:r>
      <w:proofErr w:type="spellStart"/>
      <w:r w:rsidRPr="00156B65">
        <w:rPr>
          <w:rFonts w:cs="Arial"/>
          <w:szCs w:val="22"/>
        </w:rPr>
        <w:t>reglamentària</w:t>
      </w:r>
      <w:proofErr w:type="spellEnd"/>
      <w:r w:rsidRPr="00156B65">
        <w:rPr>
          <w:rFonts w:cs="Arial"/>
          <w:szCs w:val="22"/>
        </w:rPr>
        <w:t xml:space="preserve"> per a la </w:t>
      </w:r>
      <w:proofErr w:type="spellStart"/>
      <w:r w:rsidRPr="00156B65">
        <w:rPr>
          <w:rFonts w:cs="Arial"/>
          <w:szCs w:val="22"/>
        </w:rPr>
        <w:t>seua</w:t>
      </w:r>
      <w:proofErr w:type="spellEnd"/>
      <w:r w:rsidRPr="00156B65">
        <w:rPr>
          <w:rFonts w:cs="Arial"/>
          <w:szCs w:val="22"/>
        </w:rPr>
        <w:t xml:space="preserve"> entrada en vigor. En </w:t>
      </w:r>
      <w:proofErr w:type="spellStart"/>
      <w:r w:rsidRPr="00156B65">
        <w:rPr>
          <w:rFonts w:cs="Arial"/>
          <w:szCs w:val="22"/>
        </w:rPr>
        <w:t>cas</w:t>
      </w:r>
      <w:proofErr w:type="spellEnd"/>
      <w:r w:rsidRPr="00156B65">
        <w:rPr>
          <w:rFonts w:cs="Arial"/>
          <w:szCs w:val="22"/>
        </w:rPr>
        <w:t xml:space="preserve"> de presentar-se </w:t>
      </w:r>
      <w:proofErr w:type="spellStart"/>
      <w:r w:rsidRPr="00156B65">
        <w:rPr>
          <w:rFonts w:cs="Arial"/>
          <w:szCs w:val="22"/>
        </w:rPr>
        <w:t>reclamacions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seran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resoltes</w:t>
      </w:r>
      <w:proofErr w:type="spellEnd"/>
      <w:r w:rsidRPr="00156B65">
        <w:rPr>
          <w:rFonts w:cs="Arial"/>
          <w:szCs w:val="22"/>
        </w:rPr>
        <w:t xml:space="preserve"> </w:t>
      </w:r>
      <w:proofErr w:type="spellStart"/>
      <w:r w:rsidRPr="00156B65">
        <w:rPr>
          <w:rFonts w:cs="Arial"/>
          <w:szCs w:val="22"/>
        </w:rPr>
        <w:t>pel</w:t>
      </w:r>
      <w:proofErr w:type="spellEnd"/>
      <w:r w:rsidRPr="00156B65">
        <w:rPr>
          <w:rFonts w:cs="Arial"/>
          <w:szCs w:val="22"/>
        </w:rPr>
        <w:t xml:space="preserve"> Ple de </w:t>
      </w:r>
      <w:proofErr w:type="spellStart"/>
      <w:r w:rsidRPr="00156B65">
        <w:rPr>
          <w:rFonts w:cs="Arial"/>
          <w:szCs w:val="22"/>
        </w:rPr>
        <w:t>l'Ajuntament</w:t>
      </w:r>
      <w:proofErr w:type="spellEnd"/>
      <w:r w:rsidRPr="00156B65">
        <w:rPr>
          <w:rFonts w:cs="Arial"/>
          <w:szCs w:val="22"/>
        </w:rPr>
        <w:t>.</w:t>
      </w:r>
    </w:p>
    <w:p w:rsidR="00867446" w:rsidRPr="004466AD" w:rsidRDefault="00867446" w:rsidP="00867446">
      <w:pPr>
        <w:rPr>
          <w:rFonts w:cs="Arial"/>
          <w:szCs w:val="22"/>
        </w:rPr>
      </w:pPr>
    </w:p>
    <w:sectPr w:rsidR="00867446" w:rsidRPr="004466AD" w:rsidSect="00CA397C">
      <w:headerReference w:type="even" r:id="rId7"/>
      <w:headerReference w:type="default" r:id="rId8"/>
      <w:type w:val="continuous"/>
      <w:pgSz w:w="11907" w:h="16840" w:code="9"/>
      <w:pgMar w:top="1701" w:right="1134" w:bottom="1418" w:left="2268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446" w:rsidRDefault="00867446">
      <w:r>
        <w:separator/>
      </w:r>
    </w:p>
  </w:endnote>
  <w:endnote w:type="continuationSeparator" w:id="0">
    <w:p w:rsidR="00867446" w:rsidRDefault="00867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446" w:rsidRDefault="00867446">
      <w:r>
        <w:separator/>
      </w:r>
    </w:p>
  </w:footnote>
  <w:footnote w:type="continuationSeparator" w:id="0">
    <w:p w:rsidR="00867446" w:rsidRDefault="00867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947" w:rsidRDefault="00CA397C">
    <w:pPr>
      <w:framePr w:wrap="around" w:vAnchor="text" w:hAnchor="margin" w:xAlign="right" w:y="1"/>
    </w:pPr>
    <w:fldSimple w:instr="PAGE  ">
      <w:r w:rsidR="004C4947">
        <w:t>1</w:t>
      </w:r>
    </w:fldSimple>
  </w:p>
  <w:p w:rsidR="004C4947" w:rsidRDefault="004C4947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947" w:rsidRDefault="00CA397C">
    <w:pPr>
      <w:framePr w:wrap="around" w:vAnchor="text" w:hAnchor="margin" w:xAlign="right" w:y="1"/>
    </w:pPr>
    <w:fldSimple w:instr="PAGE  ">
      <w:r w:rsidR="00EF06A4">
        <w:rPr>
          <w:noProof/>
        </w:rPr>
        <w:t>1</w:t>
      </w:r>
    </w:fldSimple>
  </w:p>
  <w:p w:rsidR="004C4947" w:rsidRDefault="004C4947">
    <w:pPr>
      <w:ind w:right="36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2A9851E8"/>
    <w:multiLevelType w:val="hybridMultilevel"/>
    <w:tmpl w:val="AB20625E"/>
    <w:lvl w:ilvl="0" w:tplc="895053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9D196F"/>
    <w:rsid w:val="000923F5"/>
    <w:rsid w:val="002B4AE7"/>
    <w:rsid w:val="00431A22"/>
    <w:rsid w:val="004C4947"/>
    <w:rsid w:val="00621F32"/>
    <w:rsid w:val="006B4257"/>
    <w:rsid w:val="007D4E81"/>
    <w:rsid w:val="00867446"/>
    <w:rsid w:val="00886E26"/>
    <w:rsid w:val="00902398"/>
    <w:rsid w:val="009D196F"/>
    <w:rsid w:val="00CA397C"/>
    <w:rsid w:val="00E91AD4"/>
    <w:rsid w:val="00EF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97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rsid w:val="00CA397C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ar"/>
    <w:qFormat/>
    <w:rsid w:val="00CA397C"/>
    <w:pPr>
      <w:keepNext/>
      <w:spacing w:before="240" w:after="60"/>
      <w:outlineLvl w:val="1"/>
    </w:pPr>
    <w:rPr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A397C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CA397C"/>
    <w:pPr>
      <w:tabs>
        <w:tab w:val="center" w:pos="4252"/>
        <w:tab w:val="right" w:pos="8504"/>
      </w:tabs>
    </w:pPr>
  </w:style>
  <w:style w:type="paragraph" w:customStyle="1" w:styleId="ARIAL11M">
    <w:name w:val="ARIAL11M"/>
    <w:basedOn w:val="Normal"/>
    <w:rsid w:val="00CA397C"/>
    <w:pPr>
      <w:spacing w:after="240"/>
    </w:pPr>
  </w:style>
  <w:style w:type="character" w:styleId="Nmerodepgina">
    <w:name w:val="page number"/>
    <w:basedOn w:val="Fuentedeprrafopredeter"/>
    <w:rsid w:val="00CA397C"/>
  </w:style>
  <w:style w:type="paragraph" w:customStyle="1" w:styleId="ARIAL11MCO">
    <w:name w:val="ARIAL11MCO"/>
    <w:basedOn w:val="Normal"/>
    <w:rsid w:val="00CA397C"/>
    <w:pPr>
      <w:jc w:val="center"/>
    </w:pPr>
    <w:rPr>
      <w:caps/>
      <w:vanish/>
    </w:rPr>
  </w:style>
  <w:style w:type="character" w:customStyle="1" w:styleId="Ttulo2Car">
    <w:name w:val="Título 2 Car"/>
    <w:basedOn w:val="Fuentedeprrafopredeter"/>
    <w:link w:val="Ttulo2"/>
    <w:rsid w:val="00867446"/>
    <w:rPr>
      <w:rFonts w:ascii="Arial" w:hAnsi="Arial"/>
      <w:b/>
      <w:i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867446"/>
    <w:pPr>
      <w:overflowPunct/>
      <w:autoSpaceDE/>
      <w:autoSpaceDN/>
      <w:adjustRightInd/>
      <w:ind w:firstLine="100"/>
      <w:textAlignment w:val="auto"/>
    </w:pPr>
    <w:rPr>
      <w:rFonts w:cs="Arial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67446"/>
    <w:rPr>
      <w:rFonts w:ascii="Arial" w:hAnsi="Arial" w:cs="Arial"/>
      <w:sz w:val="22"/>
    </w:rPr>
  </w:style>
  <w:style w:type="paragraph" w:customStyle="1" w:styleId="Default">
    <w:name w:val="Default"/>
    <w:rsid w:val="008674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clfs\Departamentos\GTributaria\Interno\URBANA\CATASTRO\AMPARO\ACUERD%20PLENO%20AMPA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 PLENO AMPARO</Template>
  <TotalTime>36</TotalTime>
  <Pages>2</Pages>
  <Words>867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11. Modificació de l’Ordenança fiscal reguladora de l’impost sobre béns immobles</dc:subject>
  <dc:creator>GESTIÓN TRIBUTARIA</dc:creator>
  <cp:keywords>PLE 31/01/2018</cp:keywords>
  <cp:lastModifiedBy>Amparo Sempere</cp:lastModifiedBy>
  <cp:revision>3</cp:revision>
  <cp:lastPrinted>1601-01-01T00:00:00Z</cp:lastPrinted>
  <dcterms:created xsi:type="dcterms:W3CDTF">2018-02-01T10:18:00Z</dcterms:created>
  <dcterms:modified xsi:type="dcterms:W3CDTF">2018-02-08T13:15:00Z</dcterms:modified>
</cp:coreProperties>
</file>