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47" w:rsidRDefault="004C4947">
      <w:pPr>
        <w:pStyle w:val="ARIAL11MCO"/>
        <w:widowControl w:val="0"/>
        <w:spacing w:after="240"/>
      </w:pPr>
      <w:r>
        <w:fldChar w:fldCharType="begin"/>
      </w:r>
      <w:r>
        <w:instrText xml:space="preserve"> AUTHOR  \* MERGEFORMAT </w:instrText>
      </w:r>
      <w:r>
        <w:fldChar w:fldCharType="separate"/>
      </w:r>
      <w:r w:rsidR="00D31670">
        <w:rPr>
          <w:noProof/>
        </w:rPr>
        <w:t>GESTIÓ TRIBUTARIA</w:t>
      </w:r>
      <w:r>
        <w:fldChar w:fldCharType="end"/>
      </w:r>
      <w:r>
        <w:t xml:space="preserve"> </w:t>
      </w:r>
      <w:r>
        <w:fldChar w:fldCharType="begin"/>
      </w:r>
      <w:r>
        <w:instrText xml:space="preserve"> TITLE  \* MERGEFORMAT </w:instrText>
      </w:r>
      <w:r>
        <w:fldChar w:fldCharType="end"/>
      </w:r>
      <w:r w:rsidR="00621F32">
        <w:t xml:space="preserve"> </w:t>
      </w:r>
      <w:fldSimple w:instr=" KEYWORDS  \* MERGEFORMAT ">
        <w:r w:rsidR="00D31670">
          <w:t>PLE 31/01/2018</w:t>
        </w:r>
      </w:fldSimple>
    </w:p>
    <w:p w:rsidR="004C4947" w:rsidRDefault="004C4947" w:rsidP="00902398">
      <w:pPr>
        <w:pStyle w:val="ARIAL11M"/>
      </w:pPr>
      <w:r>
        <w:rPr>
          <w:vanish/>
        </w:rPr>
        <w:t>F</w:t>
      </w:r>
      <w:fldSimple w:instr=" SUBJECT  \* MERGEFORMAT ">
        <w:r w:rsidR="00D31670">
          <w:t>12. MODIFICACIÓ DE L'ORDENANÇA FISCAL REGULADORA DE L'IMPOST SOBRE ACTIVITATS ECONÒMIQUES.</w:t>
        </w:r>
      </w:fldSimple>
    </w:p>
    <w:p w:rsidR="00D31670" w:rsidRDefault="00D31670" w:rsidP="00D31670">
      <w:pPr>
        <w:rPr>
          <w:rFonts w:cs="Arial"/>
          <w:szCs w:val="22"/>
          <w:lang w:val="es-ES"/>
        </w:rPr>
      </w:pPr>
      <w:r w:rsidRPr="00EF264E">
        <w:rPr>
          <w:rFonts w:cs="Arial"/>
          <w:szCs w:val="22"/>
          <w:lang w:val="es-ES"/>
        </w:rPr>
        <w:t>El Ayuntamiento</w:t>
      </w:r>
      <w:r>
        <w:rPr>
          <w:rFonts w:cs="Arial"/>
          <w:szCs w:val="22"/>
          <w:lang w:val="es-ES"/>
        </w:rPr>
        <w:t>, mediante acuerdo plenario de 30 de diciembre de 2015, aprobó la modificación de la Ordenanza fiscal municipal reguladora del impuesto sobre actividades económicas (IAE), con efectos de 1 de enero de 2016, edicto de publicación de 19 de noviembre, y publicada en el BOP de 27 de noviembre de 2015.</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La modificación afectó a los índices o coeficientes de situación regulados en el artículo 8 de la Ordenanza fiscal, y un nuevo listado de calles y categorías a efectos de la aplicación de dichos índices.</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 xml:space="preserve">Contra dicho acuerdo, la mercantil ZACOFE SA interpuso recurso contencioso-administrativo ante el Tribunal Superior de Justicia de la Comunidad, dando lugar al procedimiento ordinario nº 4/000162/2016-MA. </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 xml:space="preserve">El 20 de septiembre de 2017, el TSJ emitió sentencia con el siguiente fallo: «ESTIMAR el recurso planteado por ZACOFE SA interpuesto contra “Ordenanza fiscal del Ayuntamiento de </w:t>
      </w:r>
      <w:proofErr w:type="spellStart"/>
      <w:r>
        <w:rPr>
          <w:rFonts w:cs="Arial"/>
          <w:szCs w:val="22"/>
          <w:lang w:val="es-ES"/>
        </w:rPr>
        <w:t>Alzira</w:t>
      </w:r>
      <w:proofErr w:type="spellEnd"/>
      <w:r>
        <w:rPr>
          <w:rFonts w:cs="Arial"/>
          <w:szCs w:val="22"/>
          <w:lang w:val="es-ES"/>
        </w:rPr>
        <w:t xml:space="preserve"> reguladora del Impuesto sobre Actividades Económicas (en adelante IAE), de fecha 19 de noviembre de 2015, sobre aprobación definitiva de la modificación de las ordenanzas fiscales (BOP de 27 de noviembre de 2015). SE ANULA LA ORDENANZA ÚNICAMENTE EN EL PUNTO EN QUE SE CLASIFICA DENTRO DE LA CATEGORÍA PRIMERA LA ISLA CATASTRAL 23610. Todo ello con expresa condena en costas a la Administración demandada, se limitan a 2500 € por todos los conceptos».</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Hay que señalar que la indicada isla catastral 23610, es donde está ubicada la actividad económica de ZACOFE SA.</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Vista la propuesta del concejal de Economía, Hacienda y Juventud, de 24 de enero de 2018.</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Visto el informe favorable del interventor general, de 24 de enero de 2018.</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 xml:space="preserve">El concejal Albert </w:t>
      </w:r>
      <w:proofErr w:type="spellStart"/>
      <w:r>
        <w:rPr>
          <w:rFonts w:cs="Arial"/>
          <w:szCs w:val="22"/>
          <w:lang w:val="es-ES"/>
        </w:rPr>
        <w:t>Furió</w:t>
      </w:r>
      <w:proofErr w:type="spellEnd"/>
      <w:r>
        <w:rPr>
          <w:rFonts w:cs="Arial"/>
          <w:szCs w:val="22"/>
          <w:lang w:val="es-ES"/>
        </w:rPr>
        <w:t xml:space="preserve"> explica la propuesta y la motivación de esta modificación de la ordenanza.</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Visto el dictamen de la Comisión Informativa de Economía y Servicios Públicos, en sesión celebrada el 30 de enero de 2018.</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El alcalde somete a votación y el Pleno, con la asistencia de dieciocho concejales, de los veintiuno que de hecho y derecho forman la corporación, después de deliberación y por unanimidad, ACUERDA:</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PRIMERO. Dar cumplimiento a la sentencia y modificar el callejero del IAE aprobado en el expresado acuerdo plenario en los siguientes términos:</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1. De la categoría primera, se elimina la isla catastral 23610 y la referencia a la Avenida de Vicente Vidal, que queda redactada de la siguiente forma:</w:t>
      </w:r>
    </w:p>
    <w:p w:rsidR="00D31670" w:rsidRDefault="00D31670" w:rsidP="00D31670">
      <w:pPr>
        <w:widowControl w:val="0"/>
        <w:rPr>
          <w:rFonts w:cs="Arial"/>
          <w:b/>
          <w:szCs w:val="22"/>
        </w:rPr>
      </w:pPr>
    </w:p>
    <w:p w:rsidR="00D31670" w:rsidRPr="00A173B6" w:rsidRDefault="00D31670" w:rsidP="00D31670">
      <w:pPr>
        <w:widowControl w:val="0"/>
        <w:rPr>
          <w:rFonts w:cs="Arial"/>
          <w:b/>
          <w:i/>
          <w:iCs/>
          <w:szCs w:val="22"/>
        </w:rPr>
      </w:pPr>
      <w:r w:rsidRPr="00A173B6">
        <w:rPr>
          <w:rFonts w:cs="Arial"/>
          <w:b/>
          <w:i/>
          <w:iCs/>
          <w:szCs w:val="22"/>
        </w:rPr>
        <w:t>ÍNDEX DE VIES PÚBLIQUES</w:t>
      </w:r>
    </w:p>
    <w:p w:rsidR="00D31670" w:rsidRPr="00A173B6" w:rsidRDefault="00D31670" w:rsidP="00D31670">
      <w:pPr>
        <w:widowControl w:val="0"/>
        <w:rPr>
          <w:rFonts w:cs="Arial"/>
          <w:b/>
          <w:i/>
          <w:iCs/>
          <w:sz w:val="20"/>
        </w:rPr>
      </w:pPr>
    </w:p>
    <w:p w:rsidR="00D31670" w:rsidRPr="00A173B6" w:rsidRDefault="00D31670" w:rsidP="00D31670">
      <w:pPr>
        <w:widowControl w:val="0"/>
        <w:rPr>
          <w:rFonts w:cs="Arial"/>
          <w:b/>
          <w:i/>
          <w:iCs/>
          <w:sz w:val="20"/>
        </w:rPr>
      </w:pPr>
      <w:r w:rsidRPr="00A173B6">
        <w:rPr>
          <w:rFonts w:cs="Arial"/>
          <w:b/>
          <w:i/>
          <w:iCs/>
          <w:sz w:val="20"/>
        </w:rPr>
        <w:lastRenderedPageBreak/>
        <w:t>CATEGORÍA PRIMERA</w:t>
      </w:r>
    </w:p>
    <w:p w:rsidR="00D31670" w:rsidRPr="00A173B6" w:rsidRDefault="00D31670" w:rsidP="00D31670">
      <w:pPr>
        <w:widowControl w:val="0"/>
        <w:rPr>
          <w:rFonts w:cs="Arial"/>
          <w:b/>
          <w:i/>
          <w:iCs/>
          <w:sz w:val="20"/>
        </w:rPr>
      </w:pPr>
    </w:p>
    <w:p w:rsidR="00D31670" w:rsidRPr="00A173B6" w:rsidRDefault="00D31670" w:rsidP="00D31670">
      <w:pPr>
        <w:widowControl w:val="0"/>
        <w:rPr>
          <w:rFonts w:cs="Arial"/>
          <w:i/>
          <w:iCs/>
          <w:sz w:val="18"/>
          <w:szCs w:val="18"/>
        </w:rPr>
      </w:pPr>
      <w:proofErr w:type="spellStart"/>
      <w:r w:rsidRPr="00A173B6">
        <w:rPr>
          <w:rFonts w:cs="Arial"/>
          <w:i/>
          <w:iCs/>
          <w:sz w:val="18"/>
          <w:szCs w:val="18"/>
        </w:rPr>
        <w:t>Zones</w:t>
      </w:r>
      <w:proofErr w:type="spellEnd"/>
      <w:r w:rsidRPr="00A173B6">
        <w:rPr>
          <w:rFonts w:cs="Arial"/>
          <w:i/>
          <w:iCs/>
          <w:sz w:val="18"/>
          <w:szCs w:val="18"/>
        </w:rPr>
        <w:t xml:space="preserve"> </w:t>
      </w:r>
      <w:proofErr w:type="spellStart"/>
      <w:r w:rsidRPr="00A173B6">
        <w:rPr>
          <w:rFonts w:cs="Arial"/>
          <w:i/>
          <w:iCs/>
          <w:sz w:val="18"/>
          <w:szCs w:val="18"/>
        </w:rPr>
        <w:t>comercials</w:t>
      </w:r>
      <w:proofErr w:type="spellEnd"/>
      <w:r w:rsidRPr="00A173B6">
        <w:rPr>
          <w:rFonts w:cs="Arial"/>
          <w:i/>
          <w:iCs/>
          <w:sz w:val="18"/>
          <w:szCs w:val="18"/>
        </w:rPr>
        <w:t xml:space="preserve">, </w:t>
      </w:r>
      <w:proofErr w:type="spellStart"/>
      <w:r w:rsidRPr="00A173B6">
        <w:rPr>
          <w:rFonts w:cs="Arial"/>
          <w:i/>
          <w:iCs/>
          <w:sz w:val="18"/>
          <w:szCs w:val="18"/>
        </w:rPr>
        <w:t>recreatives</w:t>
      </w:r>
      <w:proofErr w:type="spellEnd"/>
      <w:r w:rsidRPr="00A173B6">
        <w:rPr>
          <w:rFonts w:cs="Arial"/>
          <w:i/>
          <w:iCs/>
          <w:sz w:val="18"/>
          <w:szCs w:val="18"/>
        </w:rPr>
        <w:t xml:space="preserve"> o </w:t>
      </w:r>
      <w:proofErr w:type="spellStart"/>
      <w:r w:rsidRPr="00A173B6">
        <w:rPr>
          <w:rFonts w:cs="Arial"/>
          <w:i/>
          <w:iCs/>
          <w:sz w:val="18"/>
          <w:szCs w:val="18"/>
        </w:rPr>
        <w:t>d’oci</w:t>
      </w:r>
      <w:proofErr w:type="spellEnd"/>
      <w:r w:rsidRPr="00A173B6">
        <w:rPr>
          <w:rFonts w:cs="Arial"/>
          <w:i/>
          <w:iCs/>
          <w:sz w:val="18"/>
          <w:szCs w:val="18"/>
        </w:rPr>
        <w:t xml:space="preserve">: </w:t>
      </w:r>
      <w:proofErr w:type="spellStart"/>
      <w:r w:rsidRPr="00A173B6">
        <w:rPr>
          <w:rFonts w:cs="Arial"/>
          <w:i/>
          <w:iCs/>
          <w:sz w:val="18"/>
          <w:szCs w:val="18"/>
        </w:rPr>
        <w:t>illes</w:t>
      </w:r>
      <w:proofErr w:type="spellEnd"/>
      <w:r w:rsidRPr="00A173B6">
        <w:rPr>
          <w:rFonts w:cs="Arial"/>
          <w:i/>
          <w:iCs/>
          <w:sz w:val="18"/>
          <w:szCs w:val="18"/>
        </w:rPr>
        <w:t xml:space="preserve"> </w:t>
      </w:r>
      <w:proofErr w:type="spellStart"/>
      <w:r w:rsidRPr="00A173B6">
        <w:rPr>
          <w:rFonts w:cs="Arial"/>
          <w:i/>
          <w:iCs/>
          <w:sz w:val="18"/>
          <w:szCs w:val="18"/>
        </w:rPr>
        <w:t>cadastrals</w:t>
      </w:r>
      <w:proofErr w:type="spellEnd"/>
      <w:r w:rsidRPr="00A173B6">
        <w:rPr>
          <w:rFonts w:cs="Arial"/>
          <w:i/>
          <w:iCs/>
          <w:sz w:val="18"/>
          <w:szCs w:val="18"/>
        </w:rPr>
        <w:t xml:space="preserve"> 19839 i 20809, </w:t>
      </w:r>
      <w:proofErr w:type="spellStart"/>
      <w:r w:rsidRPr="00A173B6">
        <w:rPr>
          <w:rFonts w:cs="Arial"/>
          <w:i/>
          <w:iCs/>
          <w:sz w:val="18"/>
          <w:szCs w:val="18"/>
        </w:rPr>
        <w:t>amb</w:t>
      </w:r>
      <w:proofErr w:type="spellEnd"/>
      <w:r w:rsidRPr="00A173B6">
        <w:rPr>
          <w:rFonts w:cs="Arial"/>
          <w:i/>
          <w:iCs/>
          <w:sz w:val="18"/>
          <w:szCs w:val="18"/>
        </w:rPr>
        <w:t xml:space="preserve"> </w:t>
      </w:r>
      <w:proofErr w:type="spellStart"/>
      <w:r w:rsidRPr="00A173B6">
        <w:rPr>
          <w:rFonts w:cs="Arial"/>
          <w:i/>
          <w:iCs/>
          <w:sz w:val="18"/>
          <w:szCs w:val="18"/>
        </w:rPr>
        <w:t>accés</w:t>
      </w:r>
      <w:proofErr w:type="spellEnd"/>
      <w:r w:rsidRPr="00A173B6">
        <w:rPr>
          <w:rFonts w:cs="Arial"/>
          <w:i/>
          <w:iCs/>
          <w:sz w:val="18"/>
          <w:szCs w:val="18"/>
        </w:rPr>
        <w:t xml:space="preserve"> per la </w:t>
      </w:r>
      <w:proofErr w:type="spellStart"/>
      <w:r w:rsidRPr="00A173B6">
        <w:rPr>
          <w:rFonts w:cs="Arial"/>
          <w:i/>
          <w:iCs/>
          <w:sz w:val="18"/>
          <w:szCs w:val="18"/>
        </w:rPr>
        <w:t>Avinguda</w:t>
      </w:r>
      <w:proofErr w:type="spellEnd"/>
      <w:r w:rsidRPr="00A173B6">
        <w:rPr>
          <w:rFonts w:cs="Arial"/>
          <w:i/>
          <w:iCs/>
          <w:sz w:val="18"/>
          <w:szCs w:val="18"/>
        </w:rPr>
        <w:t xml:space="preserve"> de la </w:t>
      </w:r>
      <w:proofErr w:type="spellStart"/>
      <w:r w:rsidRPr="00A173B6">
        <w:rPr>
          <w:rFonts w:cs="Arial"/>
          <w:i/>
          <w:iCs/>
          <w:sz w:val="18"/>
          <w:szCs w:val="18"/>
        </w:rPr>
        <w:t>Dignitat</w:t>
      </w:r>
      <w:proofErr w:type="spellEnd"/>
      <w:r w:rsidRPr="00A173B6">
        <w:rPr>
          <w:rFonts w:cs="Arial"/>
          <w:i/>
          <w:iCs/>
          <w:sz w:val="18"/>
          <w:szCs w:val="18"/>
        </w:rPr>
        <w:t xml:space="preserve"> Humana. Illes </w:t>
      </w:r>
      <w:proofErr w:type="spellStart"/>
      <w:r w:rsidRPr="00A173B6">
        <w:rPr>
          <w:rFonts w:cs="Arial"/>
          <w:i/>
          <w:iCs/>
          <w:sz w:val="18"/>
          <w:szCs w:val="18"/>
        </w:rPr>
        <w:t>cadastrals</w:t>
      </w:r>
      <w:proofErr w:type="spellEnd"/>
      <w:r w:rsidRPr="00A173B6">
        <w:rPr>
          <w:rFonts w:cs="Arial"/>
          <w:i/>
          <w:iCs/>
          <w:sz w:val="18"/>
          <w:szCs w:val="18"/>
        </w:rPr>
        <w:t xml:space="preserve"> 21809 i 22831, </w:t>
      </w:r>
      <w:proofErr w:type="spellStart"/>
      <w:r w:rsidRPr="00A173B6">
        <w:rPr>
          <w:rFonts w:cs="Arial"/>
          <w:i/>
          <w:iCs/>
          <w:sz w:val="18"/>
          <w:szCs w:val="18"/>
        </w:rPr>
        <w:t>delimitades</w:t>
      </w:r>
      <w:proofErr w:type="spellEnd"/>
      <w:r w:rsidRPr="00A173B6">
        <w:rPr>
          <w:rFonts w:cs="Arial"/>
          <w:i/>
          <w:iCs/>
          <w:sz w:val="18"/>
          <w:szCs w:val="18"/>
        </w:rPr>
        <w:t xml:space="preserve"> per les </w:t>
      </w:r>
      <w:proofErr w:type="spellStart"/>
      <w:r w:rsidRPr="00A173B6">
        <w:rPr>
          <w:rFonts w:cs="Arial"/>
          <w:i/>
          <w:iCs/>
          <w:sz w:val="18"/>
          <w:szCs w:val="18"/>
        </w:rPr>
        <w:t>Avingudes</w:t>
      </w:r>
      <w:proofErr w:type="spellEnd"/>
      <w:r w:rsidRPr="00A173B6">
        <w:rPr>
          <w:rFonts w:cs="Arial"/>
          <w:i/>
          <w:iCs/>
          <w:sz w:val="18"/>
          <w:szCs w:val="18"/>
        </w:rPr>
        <w:t xml:space="preserve"> de la </w:t>
      </w:r>
      <w:proofErr w:type="spellStart"/>
      <w:r w:rsidRPr="00A173B6">
        <w:rPr>
          <w:rFonts w:cs="Arial"/>
          <w:i/>
          <w:iCs/>
          <w:sz w:val="18"/>
          <w:szCs w:val="18"/>
        </w:rPr>
        <w:t>Llibertat</w:t>
      </w:r>
      <w:proofErr w:type="spellEnd"/>
      <w:r w:rsidRPr="00A173B6">
        <w:rPr>
          <w:rFonts w:cs="Arial"/>
          <w:i/>
          <w:iCs/>
          <w:sz w:val="18"/>
          <w:szCs w:val="18"/>
        </w:rPr>
        <w:t xml:space="preserve"> i de la </w:t>
      </w:r>
      <w:proofErr w:type="spellStart"/>
      <w:r w:rsidRPr="00A173B6">
        <w:rPr>
          <w:rFonts w:cs="Arial"/>
          <w:i/>
          <w:iCs/>
          <w:sz w:val="18"/>
          <w:szCs w:val="18"/>
        </w:rPr>
        <w:t>Sobinaria</w:t>
      </w:r>
      <w:proofErr w:type="spellEnd"/>
      <w:r w:rsidRPr="00A173B6">
        <w:rPr>
          <w:rFonts w:cs="Arial"/>
          <w:i/>
          <w:iCs/>
          <w:sz w:val="18"/>
          <w:szCs w:val="18"/>
        </w:rPr>
        <w:t xml:space="preserve"> Nacional. I illa </w:t>
      </w:r>
      <w:proofErr w:type="spellStart"/>
      <w:r w:rsidRPr="00A173B6">
        <w:rPr>
          <w:rFonts w:cs="Arial"/>
          <w:i/>
          <w:iCs/>
          <w:sz w:val="18"/>
          <w:szCs w:val="18"/>
        </w:rPr>
        <w:t>cadastral</w:t>
      </w:r>
      <w:proofErr w:type="spellEnd"/>
      <w:r w:rsidRPr="00A173B6">
        <w:rPr>
          <w:rFonts w:cs="Arial"/>
          <w:i/>
          <w:iCs/>
          <w:sz w:val="18"/>
          <w:szCs w:val="18"/>
        </w:rPr>
        <w:t xml:space="preserve"> 26830, </w:t>
      </w:r>
      <w:proofErr w:type="spellStart"/>
      <w:r w:rsidRPr="00A173B6">
        <w:rPr>
          <w:rFonts w:cs="Arial"/>
          <w:i/>
          <w:iCs/>
          <w:sz w:val="18"/>
          <w:szCs w:val="18"/>
        </w:rPr>
        <w:t>amb</w:t>
      </w:r>
      <w:proofErr w:type="spellEnd"/>
      <w:r w:rsidRPr="00A173B6">
        <w:rPr>
          <w:rFonts w:cs="Arial"/>
          <w:i/>
          <w:iCs/>
          <w:sz w:val="18"/>
          <w:szCs w:val="18"/>
        </w:rPr>
        <w:t xml:space="preserve"> </w:t>
      </w:r>
      <w:proofErr w:type="spellStart"/>
      <w:r w:rsidRPr="00A173B6">
        <w:rPr>
          <w:rFonts w:cs="Arial"/>
          <w:i/>
          <w:iCs/>
          <w:sz w:val="18"/>
          <w:szCs w:val="18"/>
        </w:rPr>
        <w:t>accés</w:t>
      </w:r>
      <w:proofErr w:type="spellEnd"/>
      <w:r w:rsidRPr="00A173B6">
        <w:rPr>
          <w:rFonts w:cs="Arial"/>
          <w:i/>
          <w:iCs/>
          <w:sz w:val="18"/>
          <w:szCs w:val="18"/>
        </w:rPr>
        <w:t xml:space="preserve"> </w:t>
      </w:r>
      <w:proofErr w:type="spellStart"/>
      <w:r w:rsidRPr="00A173B6">
        <w:rPr>
          <w:rFonts w:cs="Arial"/>
          <w:i/>
          <w:iCs/>
          <w:sz w:val="18"/>
          <w:szCs w:val="18"/>
        </w:rPr>
        <w:t>pel</w:t>
      </w:r>
      <w:proofErr w:type="spellEnd"/>
      <w:r w:rsidRPr="00A173B6">
        <w:rPr>
          <w:rFonts w:cs="Arial"/>
          <w:i/>
          <w:iCs/>
          <w:sz w:val="18"/>
          <w:szCs w:val="18"/>
        </w:rPr>
        <w:t xml:space="preserve"> número 2 de la </w:t>
      </w:r>
      <w:proofErr w:type="spellStart"/>
      <w:r w:rsidRPr="00A173B6">
        <w:rPr>
          <w:rFonts w:cs="Arial"/>
          <w:i/>
          <w:iCs/>
          <w:sz w:val="18"/>
          <w:szCs w:val="18"/>
        </w:rPr>
        <w:t>Avinguda</w:t>
      </w:r>
      <w:proofErr w:type="spellEnd"/>
      <w:r w:rsidRPr="00A173B6">
        <w:rPr>
          <w:rFonts w:cs="Arial"/>
          <w:i/>
          <w:iCs/>
          <w:sz w:val="18"/>
          <w:szCs w:val="18"/>
        </w:rPr>
        <w:t xml:space="preserve"> de la </w:t>
      </w:r>
      <w:proofErr w:type="spellStart"/>
      <w:r w:rsidRPr="00A173B6">
        <w:rPr>
          <w:rFonts w:cs="Arial"/>
          <w:i/>
          <w:iCs/>
          <w:sz w:val="18"/>
          <w:szCs w:val="18"/>
        </w:rPr>
        <w:t>Llibertat</w:t>
      </w:r>
      <w:proofErr w:type="spellEnd"/>
      <w:r w:rsidRPr="00A173B6">
        <w:rPr>
          <w:rFonts w:cs="Arial"/>
          <w:i/>
          <w:iCs/>
          <w:sz w:val="18"/>
          <w:szCs w:val="18"/>
        </w:rPr>
        <w:t xml:space="preserve">. </w:t>
      </w:r>
    </w:p>
    <w:p w:rsidR="00D31670" w:rsidRPr="00A173B6" w:rsidRDefault="00D31670" w:rsidP="00D31670">
      <w:pPr>
        <w:widowControl w:val="0"/>
        <w:rPr>
          <w:rFonts w:cs="Arial"/>
          <w:i/>
          <w:iCs/>
          <w:sz w:val="20"/>
        </w:rPr>
      </w:pPr>
    </w:p>
    <w:p w:rsidR="00D31670" w:rsidRPr="00A173B6" w:rsidRDefault="00D31670" w:rsidP="00D31670">
      <w:pPr>
        <w:widowControl w:val="0"/>
        <w:rPr>
          <w:rFonts w:cs="Arial"/>
          <w:i/>
          <w:iCs/>
          <w:sz w:val="18"/>
          <w:szCs w:val="18"/>
        </w:rPr>
      </w:pPr>
      <w:proofErr w:type="spellStart"/>
      <w:r w:rsidRPr="00A173B6">
        <w:rPr>
          <w:rFonts w:cs="Arial"/>
          <w:i/>
          <w:iCs/>
          <w:sz w:val="18"/>
          <w:szCs w:val="18"/>
        </w:rPr>
        <w:t>Llistat</w:t>
      </w:r>
      <w:proofErr w:type="spellEnd"/>
      <w:r w:rsidRPr="00A173B6">
        <w:rPr>
          <w:rFonts w:cs="Arial"/>
          <w:i/>
          <w:iCs/>
          <w:sz w:val="18"/>
          <w:szCs w:val="18"/>
        </w:rPr>
        <w:t xml:space="preserve"> de </w:t>
      </w:r>
      <w:proofErr w:type="spellStart"/>
      <w:r w:rsidRPr="00A173B6">
        <w:rPr>
          <w:rFonts w:cs="Arial"/>
          <w:i/>
          <w:iCs/>
          <w:sz w:val="18"/>
          <w:szCs w:val="18"/>
        </w:rPr>
        <w:t>carrers</w:t>
      </w:r>
      <w:proofErr w:type="spellEnd"/>
    </w:p>
    <w:p w:rsidR="00D31670" w:rsidRPr="00A173B6" w:rsidRDefault="00D31670" w:rsidP="00D31670">
      <w:pPr>
        <w:widowControl w:val="0"/>
        <w:rPr>
          <w:rFonts w:cs="Arial"/>
          <w:i/>
          <w:iCs/>
          <w:sz w:val="18"/>
          <w:szCs w:val="18"/>
        </w:rPr>
      </w:pPr>
    </w:p>
    <w:tbl>
      <w:tblPr>
        <w:tblW w:w="6828" w:type="dxa"/>
        <w:jc w:val="center"/>
        <w:tblInd w:w="70" w:type="dxa"/>
        <w:tblCellMar>
          <w:left w:w="70" w:type="dxa"/>
          <w:right w:w="70" w:type="dxa"/>
        </w:tblCellMar>
        <w:tblLook w:val="0000"/>
      </w:tblPr>
      <w:tblGrid>
        <w:gridCol w:w="3656"/>
        <w:gridCol w:w="1216"/>
        <w:gridCol w:w="1956"/>
      </w:tblGrid>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b/>
                <w:bCs/>
                <w:i/>
                <w:iCs/>
                <w:sz w:val="18"/>
                <w:szCs w:val="18"/>
              </w:rPr>
            </w:pPr>
            <w:proofErr w:type="spellStart"/>
            <w:r w:rsidRPr="00A173B6">
              <w:rPr>
                <w:rFonts w:cs="Arial"/>
                <w:b/>
                <w:bCs/>
                <w:i/>
                <w:iCs/>
                <w:sz w:val="18"/>
                <w:szCs w:val="18"/>
              </w:rPr>
              <w:t>Via</w:t>
            </w:r>
            <w:proofErr w:type="spellEnd"/>
            <w:r w:rsidRPr="00A173B6">
              <w:rPr>
                <w:rFonts w:cs="Arial"/>
                <w:b/>
                <w:bCs/>
                <w:i/>
                <w:iCs/>
                <w:sz w:val="18"/>
                <w:szCs w:val="18"/>
              </w:rPr>
              <w:t xml:space="preserve"> pública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b/>
                <w:bCs/>
                <w:i/>
                <w:iCs/>
                <w:sz w:val="18"/>
                <w:szCs w:val="18"/>
              </w:rPr>
            </w:pPr>
            <w:proofErr w:type="spellStart"/>
            <w:r w:rsidRPr="00A173B6">
              <w:rPr>
                <w:rFonts w:cs="Arial"/>
                <w:b/>
                <w:bCs/>
                <w:i/>
                <w:iCs/>
                <w:sz w:val="18"/>
                <w:szCs w:val="18"/>
              </w:rPr>
              <w:t>Categoria</w:t>
            </w:r>
            <w:proofErr w:type="spellEnd"/>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b/>
                <w:bCs/>
                <w:i/>
                <w:iCs/>
                <w:sz w:val="18"/>
                <w:szCs w:val="18"/>
              </w:rPr>
            </w:pPr>
            <w:r w:rsidRPr="00A173B6">
              <w:rPr>
                <w:rFonts w:cs="Arial"/>
                <w:b/>
                <w:bCs/>
                <w:i/>
                <w:iCs/>
                <w:sz w:val="18"/>
                <w:szCs w:val="18"/>
              </w:rPr>
              <w:t>Tramada</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rPr>
            </w:pPr>
            <w:r w:rsidRPr="00A173B6">
              <w:rPr>
                <w:rFonts w:cs="Arial"/>
                <w:i/>
                <w:iCs/>
                <w:sz w:val="18"/>
                <w:szCs w:val="18"/>
              </w:rPr>
              <w:t>ALBALAT, CAMI D’</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w:t>
            </w:r>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1000-99999</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rPr>
            </w:pPr>
            <w:r w:rsidRPr="00A173B6">
              <w:rPr>
                <w:rFonts w:cs="Arial"/>
                <w:i/>
                <w:iCs/>
                <w:sz w:val="18"/>
                <w:szCs w:val="18"/>
              </w:rPr>
              <w:t>AVDA DE LA LLIBERTAT</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w:t>
            </w:r>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Núm. (1-11), i (2)</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rPr>
            </w:pPr>
            <w:r w:rsidRPr="00A173B6">
              <w:rPr>
                <w:rFonts w:cs="Arial"/>
                <w:i/>
                <w:iCs/>
                <w:sz w:val="18"/>
                <w:szCs w:val="18"/>
              </w:rPr>
              <w:t>DIGNITAT HUMANA, AVDA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w:t>
            </w:r>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proofErr w:type="spellStart"/>
            <w:r w:rsidRPr="00A173B6">
              <w:rPr>
                <w:rFonts w:cs="Arial"/>
                <w:i/>
                <w:iCs/>
                <w:sz w:val="18"/>
                <w:szCs w:val="18"/>
              </w:rPr>
              <w:t>Tots</w:t>
            </w:r>
            <w:proofErr w:type="spellEnd"/>
            <w:r w:rsidRPr="00A173B6">
              <w:rPr>
                <w:rFonts w:cs="Arial"/>
                <w:i/>
                <w:iCs/>
                <w:sz w:val="18"/>
                <w:szCs w:val="18"/>
              </w:rPr>
              <w:t xml:space="preserve"> </w:t>
            </w:r>
            <w:proofErr w:type="spellStart"/>
            <w:r w:rsidRPr="00A173B6">
              <w:rPr>
                <w:rFonts w:cs="Arial"/>
                <w:i/>
                <w:iCs/>
                <w:sz w:val="18"/>
                <w:szCs w:val="18"/>
              </w:rPr>
              <w:t>els</w:t>
            </w:r>
            <w:proofErr w:type="spellEnd"/>
            <w:r w:rsidRPr="00A173B6">
              <w:rPr>
                <w:rFonts w:cs="Arial"/>
                <w:i/>
                <w:iCs/>
                <w:sz w:val="18"/>
                <w:szCs w:val="18"/>
              </w:rPr>
              <w:t xml:space="preserve"> números</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rPr>
            </w:pPr>
            <w:r w:rsidRPr="00A173B6">
              <w:rPr>
                <w:rFonts w:cs="Arial"/>
                <w:i/>
                <w:iCs/>
                <w:sz w:val="18"/>
                <w:szCs w:val="18"/>
              </w:rPr>
              <w:t>GANDIA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w:t>
            </w:r>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Núm. (20)</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rPr>
            </w:pPr>
            <w:r w:rsidRPr="00A173B6">
              <w:rPr>
                <w:rFonts w:cs="Arial"/>
                <w:i/>
                <w:iCs/>
                <w:sz w:val="18"/>
                <w:szCs w:val="18"/>
              </w:rPr>
              <w:t>SOBIRANIA NACIONAL, AVDA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1</w:t>
            </w:r>
          </w:p>
        </w:tc>
        <w:tc>
          <w:tcPr>
            <w:tcW w:w="195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rPr>
            </w:pPr>
            <w:r w:rsidRPr="00A173B6">
              <w:rPr>
                <w:rFonts w:cs="Arial"/>
                <w:i/>
                <w:iCs/>
                <w:sz w:val="18"/>
                <w:szCs w:val="18"/>
              </w:rPr>
              <w:t xml:space="preserve">Núm. </w:t>
            </w:r>
            <w:proofErr w:type="spellStart"/>
            <w:r w:rsidRPr="00A173B6">
              <w:rPr>
                <w:rFonts w:cs="Arial"/>
                <w:i/>
                <w:iCs/>
                <w:sz w:val="18"/>
                <w:szCs w:val="18"/>
              </w:rPr>
              <w:t>Imparells</w:t>
            </w:r>
            <w:proofErr w:type="spellEnd"/>
          </w:p>
        </w:tc>
      </w:tr>
    </w:tbl>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 xml:space="preserve">2. De la categoría tercera, en primer lugar, se elimina la calle «VICENTE VIDAL, AVDA; </w:t>
      </w:r>
      <w:r w:rsidRPr="00DD37A8">
        <w:rPr>
          <w:rFonts w:cs="Arial"/>
          <w:szCs w:val="18"/>
          <w:lang w:val="es-ES"/>
        </w:rPr>
        <w:t>Núm. (1-73), i (2-998)</w:t>
      </w:r>
      <w:r>
        <w:rPr>
          <w:rFonts w:cs="Arial"/>
          <w:szCs w:val="22"/>
          <w:lang w:val="es-ES"/>
        </w:rPr>
        <w:t>», al desaparecer dicho nombre de la vía del callejero municipal y, en segundo lugar, se incluyen las dos nuevas vías que sustituyen a la Av. Vicente Vidal, con sus actuales nombres (acuerdo plenario de 22 de febrero de 2017):</w:t>
      </w:r>
    </w:p>
    <w:p w:rsidR="00D31670" w:rsidRPr="00A173B6" w:rsidRDefault="00D31670" w:rsidP="00D31670">
      <w:pPr>
        <w:widowControl w:val="0"/>
        <w:rPr>
          <w:rFonts w:cs="Arial"/>
          <w:b/>
          <w:i/>
          <w:iCs/>
          <w:sz w:val="20"/>
        </w:rPr>
      </w:pPr>
    </w:p>
    <w:p w:rsidR="00D31670" w:rsidRPr="00A173B6" w:rsidRDefault="00D31670" w:rsidP="00D31670">
      <w:pPr>
        <w:widowControl w:val="0"/>
        <w:rPr>
          <w:rFonts w:cs="Arial"/>
          <w:b/>
          <w:i/>
          <w:iCs/>
          <w:sz w:val="20"/>
        </w:rPr>
      </w:pPr>
      <w:r w:rsidRPr="00A173B6">
        <w:rPr>
          <w:rFonts w:cs="Arial"/>
          <w:b/>
          <w:i/>
          <w:iCs/>
          <w:sz w:val="20"/>
        </w:rPr>
        <w:t>CATEGORIA TERCERA</w:t>
      </w:r>
    </w:p>
    <w:p w:rsidR="00D31670" w:rsidRPr="00A173B6" w:rsidRDefault="00D31670" w:rsidP="00D31670">
      <w:pPr>
        <w:widowControl w:val="0"/>
        <w:rPr>
          <w:rFonts w:cs="Arial"/>
          <w:b/>
          <w:i/>
          <w:iCs/>
          <w:sz w:val="20"/>
        </w:rPr>
      </w:pPr>
    </w:p>
    <w:p w:rsidR="00D31670" w:rsidRPr="00A173B6" w:rsidRDefault="00D31670" w:rsidP="00D31670">
      <w:pPr>
        <w:widowControl w:val="0"/>
        <w:rPr>
          <w:rFonts w:cs="Arial"/>
          <w:i/>
          <w:iCs/>
          <w:sz w:val="18"/>
          <w:szCs w:val="18"/>
        </w:rPr>
      </w:pPr>
      <w:proofErr w:type="spellStart"/>
      <w:r w:rsidRPr="00A173B6">
        <w:rPr>
          <w:rFonts w:cs="Arial"/>
          <w:i/>
          <w:iCs/>
          <w:sz w:val="18"/>
          <w:szCs w:val="18"/>
        </w:rPr>
        <w:t>Llistat</w:t>
      </w:r>
      <w:proofErr w:type="spellEnd"/>
      <w:r w:rsidRPr="00A173B6">
        <w:rPr>
          <w:rFonts w:cs="Arial"/>
          <w:i/>
          <w:iCs/>
          <w:sz w:val="18"/>
          <w:szCs w:val="18"/>
        </w:rPr>
        <w:t xml:space="preserve"> de </w:t>
      </w:r>
      <w:proofErr w:type="spellStart"/>
      <w:r w:rsidRPr="00A173B6">
        <w:rPr>
          <w:rFonts w:cs="Arial"/>
          <w:i/>
          <w:iCs/>
          <w:sz w:val="18"/>
          <w:szCs w:val="18"/>
        </w:rPr>
        <w:t>carrers</w:t>
      </w:r>
      <w:proofErr w:type="spellEnd"/>
    </w:p>
    <w:p w:rsidR="00D31670" w:rsidRPr="00A173B6" w:rsidRDefault="00D31670" w:rsidP="00D31670">
      <w:pPr>
        <w:widowControl w:val="0"/>
        <w:rPr>
          <w:rFonts w:cs="Arial"/>
          <w:i/>
          <w:iCs/>
          <w:sz w:val="18"/>
          <w:szCs w:val="18"/>
        </w:rPr>
      </w:pPr>
    </w:p>
    <w:tbl>
      <w:tblPr>
        <w:tblW w:w="7188" w:type="dxa"/>
        <w:jc w:val="center"/>
        <w:tblInd w:w="70" w:type="dxa"/>
        <w:tblCellMar>
          <w:left w:w="70" w:type="dxa"/>
          <w:right w:w="70" w:type="dxa"/>
        </w:tblCellMar>
        <w:tblLook w:val="0000"/>
      </w:tblPr>
      <w:tblGrid>
        <w:gridCol w:w="3656"/>
        <w:gridCol w:w="1216"/>
        <w:gridCol w:w="2316"/>
      </w:tblGrid>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b/>
                <w:bCs/>
                <w:i/>
                <w:iCs/>
                <w:sz w:val="18"/>
                <w:szCs w:val="18"/>
                <w:lang w:val="es-ES"/>
              </w:rPr>
            </w:pPr>
            <w:proofErr w:type="spellStart"/>
            <w:r w:rsidRPr="00A173B6">
              <w:rPr>
                <w:rFonts w:cs="Arial"/>
                <w:b/>
                <w:bCs/>
                <w:i/>
                <w:iCs/>
                <w:sz w:val="18"/>
                <w:szCs w:val="18"/>
                <w:lang w:val="es-ES"/>
              </w:rPr>
              <w:t>Via</w:t>
            </w:r>
            <w:proofErr w:type="spellEnd"/>
            <w:r w:rsidRPr="00A173B6">
              <w:rPr>
                <w:rFonts w:cs="Arial"/>
                <w:b/>
                <w:bCs/>
                <w:i/>
                <w:iCs/>
                <w:sz w:val="18"/>
                <w:szCs w:val="18"/>
                <w:lang w:val="es-ES"/>
              </w:rPr>
              <w:t xml:space="preserve"> pública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b/>
                <w:bCs/>
                <w:i/>
                <w:iCs/>
                <w:sz w:val="18"/>
                <w:szCs w:val="18"/>
                <w:lang w:val="es-ES"/>
              </w:rPr>
            </w:pPr>
            <w:proofErr w:type="spellStart"/>
            <w:r w:rsidRPr="00A173B6">
              <w:rPr>
                <w:rFonts w:cs="Arial"/>
                <w:b/>
                <w:bCs/>
                <w:i/>
                <w:iCs/>
                <w:sz w:val="18"/>
                <w:szCs w:val="18"/>
                <w:lang w:val="es-ES"/>
              </w:rPr>
              <w:t>Categoria</w:t>
            </w:r>
            <w:proofErr w:type="spellEnd"/>
          </w:p>
        </w:tc>
        <w:tc>
          <w:tcPr>
            <w:tcW w:w="2316" w:type="dxa"/>
            <w:tcBorders>
              <w:top w:val="nil"/>
              <w:left w:val="nil"/>
              <w:bottom w:val="nil"/>
              <w:right w:val="nil"/>
            </w:tcBorders>
            <w:shd w:val="clear" w:color="auto" w:fill="auto"/>
            <w:noWrap/>
            <w:vAlign w:val="bottom"/>
          </w:tcPr>
          <w:p w:rsidR="00D31670" w:rsidRPr="00A173B6" w:rsidRDefault="00D31670" w:rsidP="004B4027">
            <w:pPr>
              <w:jc w:val="center"/>
              <w:rPr>
                <w:rFonts w:cs="Arial"/>
                <w:b/>
                <w:bCs/>
                <w:i/>
                <w:iCs/>
                <w:sz w:val="18"/>
                <w:szCs w:val="18"/>
                <w:lang w:val="es-ES"/>
              </w:rPr>
            </w:pPr>
            <w:r w:rsidRPr="00A173B6">
              <w:rPr>
                <w:rFonts w:cs="Arial"/>
                <w:b/>
                <w:bCs/>
                <w:i/>
                <w:iCs/>
                <w:sz w:val="18"/>
                <w:szCs w:val="18"/>
                <w:lang w:val="es-ES"/>
              </w:rPr>
              <w:t>Tramada</w:t>
            </w:r>
          </w:p>
        </w:tc>
      </w:tr>
    </w:tbl>
    <w:p w:rsidR="00D31670" w:rsidRPr="00A173B6" w:rsidRDefault="00D31670" w:rsidP="00D31670">
      <w:pPr>
        <w:rPr>
          <w:rFonts w:cs="Arial"/>
          <w:i/>
          <w:iCs/>
          <w:szCs w:val="22"/>
          <w:lang w:val="es-ES"/>
        </w:rPr>
      </w:pPr>
      <w:r w:rsidRPr="00A173B6">
        <w:rPr>
          <w:rFonts w:cs="Arial"/>
          <w:i/>
          <w:iCs/>
          <w:szCs w:val="22"/>
          <w:lang w:val="es-ES"/>
        </w:rPr>
        <w:tab/>
        <w:t>[…/…]</w:t>
      </w:r>
    </w:p>
    <w:tbl>
      <w:tblPr>
        <w:tblW w:w="7188" w:type="dxa"/>
        <w:jc w:val="center"/>
        <w:tblInd w:w="70" w:type="dxa"/>
        <w:tblCellMar>
          <w:left w:w="70" w:type="dxa"/>
          <w:right w:w="70" w:type="dxa"/>
        </w:tblCellMar>
        <w:tblLook w:val="0000"/>
      </w:tblPr>
      <w:tblGrid>
        <w:gridCol w:w="3656"/>
        <w:gridCol w:w="1216"/>
        <w:gridCol w:w="2316"/>
      </w:tblGrid>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lang w:val="es-ES"/>
              </w:rPr>
            </w:pPr>
            <w:r w:rsidRPr="00A173B6">
              <w:rPr>
                <w:rFonts w:cs="Arial"/>
                <w:i/>
                <w:iCs/>
                <w:sz w:val="18"/>
                <w:szCs w:val="18"/>
                <w:lang w:val="es-ES"/>
              </w:rPr>
              <w:t>PROFESSORA MARÍA PLASENCIA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lang w:val="es-ES"/>
              </w:rPr>
            </w:pPr>
            <w:r w:rsidRPr="00A173B6">
              <w:rPr>
                <w:rFonts w:cs="Arial"/>
                <w:i/>
                <w:iCs/>
                <w:sz w:val="18"/>
                <w:szCs w:val="18"/>
                <w:lang w:val="es-ES"/>
              </w:rPr>
              <w:t>3</w:t>
            </w:r>
          </w:p>
        </w:tc>
        <w:tc>
          <w:tcPr>
            <w:tcW w:w="23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lang w:val="es-ES"/>
              </w:rPr>
            </w:pPr>
            <w:proofErr w:type="spellStart"/>
            <w:r w:rsidRPr="00A173B6">
              <w:rPr>
                <w:rFonts w:cs="Arial"/>
                <w:i/>
                <w:iCs/>
                <w:sz w:val="18"/>
                <w:szCs w:val="18"/>
                <w:lang w:val="es-ES"/>
              </w:rPr>
              <w:t>Tots</w:t>
            </w:r>
            <w:proofErr w:type="spellEnd"/>
            <w:r w:rsidRPr="00A173B6">
              <w:rPr>
                <w:rFonts w:cs="Arial"/>
                <w:i/>
                <w:iCs/>
                <w:sz w:val="18"/>
                <w:szCs w:val="18"/>
                <w:lang w:val="es-ES"/>
              </w:rPr>
              <w:t xml:space="preserve"> </w:t>
            </w:r>
            <w:proofErr w:type="spellStart"/>
            <w:r w:rsidRPr="00A173B6">
              <w:rPr>
                <w:rFonts w:cs="Arial"/>
                <w:i/>
                <w:iCs/>
                <w:sz w:val="18"/>
                <w:szCs w:val="18"/>
                <w:lang w:val="es-ES"/>
              </w:rPr>
              <w:t>els</w:t>
            </w:r>
            <w:proofErr w:type="spellEnd"/>
            <w:r w:rsidRPr="00A173B6">
              <w:rPr>
                <w:rFonts w:cs="Arial"/>
                <w:i/>
                <w:iCs/>
                <w:sz w:val="18"/>
                <w:szCs w:val="18"/>
                <w:lang w:val="es-ES"/>
              </w:rPr>
              <w:t xml:space="preserve"> números</w:t>
            </w:r>
          </w:p>
        </w:tc>
      </w:tr>
      <w:tr w:rsidR="00D31670" w:rsidRPr="00A173B6" w:rsidTr="004B4027">
        <w:trPr>
          <w:trHeight w:val="255"/>
          <w:jc w:val="center"/>
        </w:trPr>
        <w:tc>
          <w:tcPr>
            <w:tcW w:w="3656" w:type="dxa"/>
            <w:tcBorders>
              <w:top w:val="nil"/>
              <w:left w:val="nil"/>
              <w:bottom w:val="nil"/>
              <w:right w:val="nil"/>
            </w:tcBorders>
            <w:shd w:val="clear" w:color="auto" w:fill="auto"/>
            <w:noWrap/>
            <w:vAlign w:val="bottom"/>
          </w:tcPr>
          <w:p w:rsidR="00D31670" w:rsidRPr="00A173B6" w:rsidRDefault="00D31670" w:rsidP="004B4027">
            <w:pPr>
              <w:rPr>
                <w:rFonts w:cs="Arial"/>
                <w:i/>
                <w:iCs/>
                <w:sz w:val="18"/>
                <w:szCs w:val="18"/>
                <w:lang w:val="es-ES"/>
              </w:rPr>
            </w:pPr>
            <w:r w:rsidRPr="00A173B6">
              <w:rPr>
                <w:rFonts w:cs="Arial"/>
                <w:i/>
                <w:iCs/>
                <w:sz w:val="18"/>
                <w:szCs w:val="18"/>
                <w:lang w:val="es-ES"/>
              </w:rPr>
              <w:t>MESTRA JOSEFINA FERNÁNDEZ, AVDA</w:t>
            </w:r>
          </w:p>
        </w:tc>
        <w:tc>
          <w:tcPr>
            <w:tcW w:w="12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lang w:val="es-ES"/>
              </w:rPr>
            </w:pPr>
            <w:r w:rsidRPr="00A173B6">
              <w:rPr>
                <w:rFonts w:cs="Arial"/>
                <w:i/>
                <w:iCs/>
                <w:sz w:val="18"/>
                <w:szCs w:val="18"/>
                <w:lang w:val="es-ES"/>
              </w:rPr>
              <w:t>3</w:t>
            </w:r>
          </w:p>
        </w:tc>
        <w:tc>
          <w:tcPr>
            <w:tcW w:w="2316" w:type="dxa"/>
            <w:tcBorders>
              <w:top w:val="nil"/>
              <w:left w:val="nil"/>
              <w:bottom w:val="nil"/>
              <w:right w:val="nil"/>
            </w:tcBorders>
            <w:shd w:val="clear" w:color="auto" w:fill="auto"/>
            <w:noWrap/>
            <w:vAlign w:val="bottom"/>
          </w:tcPr>
          <w:p w:rsidR="00D31670" w:rsidRPr="00A173B6" w:rsidRDefault="00D31670" w:rsidP="004B4027">
            <w:pPr>
              <w:jc w:val="center"/>
              <w:rPr>
                <w:rFonts w:cs="Arial"/>
                <w:i/>
                <w:iCs/>
                <w:sz w:val="18"/>
                <w:szCs w:val="18"/>
                <w:lang w:val="es-ES"/>
              </w:rPr>
            </w:pPr>
            <w:proofErr w:type="spellStart"/>
            <w:r w:rsidRPr="00A173B6">
              <w:rPr>
                <w:rFonts w:cs="Arial"/>
                <w:i/>
                <w:iCs/>
                <w:sz w:val="18"/>
                <w:szCs w:val="18"/>
                <w:lang w:val="es-ES"/>
              </w:rPr>
              <w:t>Tots</w:t>
            </w:r>
            <w:proofErr w:type="spellEnd"/>
            <w:r w:rsidRPr="00A173B6">
              <w:rPr>
                <w:rFonts w:cs="Arial"/>
                <w:i/>
                <w:iCs/>
                <w:sz w:val="18"/>
                <w:szCs w:val="18"/>
                <w:lang w:val="es-ES"/>
              </w:rPr>
              <w:t xml:space="preserve"> </w:t>
            </w:r>
            <w:proofErr w:type="spellStart"/>
            <w:r w:rsidRPr="00A173B6">
              <w:rPr>
                <w:rFonts w:cs="Arial"/>
                <w:i/>
                <w:iCs/>
                <w:sz w:val="18"/>
                <w:szCs w:val="18"/>
                <w:lang w:val="es-ES"/>
              </w:rPr>
              <w:t>els</w:t>
            </w:r>
            <w:proofErr w:type="spellEnd"/>
            <w:r w:rsidRPr="00A173B6">
              <w:rPr>
                <w:rFonts w:cs="Arial"/>
                <w:i/>
                <w:iCs/>
                <w:sz w:val="18"/>
                <w:szCs w:val="18"/>
                <w:lang w:val="es-ES"/>
              </w:rPr>
              <w:t xml:space="preserve"> números</w:t>
            </w:r>
          </w:p>
        </w:tc>
      </w:tr>
    </w:tbl>
    <w:p w:rsidR="00D31670" w:rsidRPr="00A173B6" w:rsidRDefault="00D31670" w:rsidP="00D31670">
      <w:pPr>
        <w:rPr>
          <w:rFonts w:cs="Arial"/>
          <w:i/>
          <w:iCs/>
          <w:szCs w:val="22"/>
          <w:lang w:val="es-ES"/>
        </w:rPr>
      </w:pPr>
      <w:r w:rsidRPr="00A173B6">
        <w:rPr>
          <w:rFonts w:cs="Arial"/>
          <w:i/>
          <w:iCs/>
          <w:szCs w:val="22"/>
          <w:lang w:val="es-ES"/>
        </w:rPr>
        <w:tab/>
        <w:t>[…/…]</w:t>
      </w:r>
    </w:p>
    <w:p w:rsidR="00D31670" w:rsidRPr="00A173B6" w:rsidRDefault="00D31670" w:rsidP="00D31670">
      <w:pPr>
        <w:rPr>
          <w:rFonts w:cs="Arial"/>
          <w:i/>
          <w:iCs/>
          <w:szCs w:val="22"/>
          <w:lang w:val="es-ES"/>
        </w:rPr>
      </w:pPr>
    </w:p>
    <w:p w:rsidR="00D31670" w:rsidRDefault="00D31670" w:rsidP="00D31670">
      <w:pPr>
        <w:rPr>
          <w:rFonts w:cs="Arial"/>
          <w:szCs w:val="22"/>
          <w:lang w:val="es-ES"/>
        </w:rPr>
      </w:pPr>
      <w:r>
        <w:rPr>
          <w:rFonts w:cs="Arial"/>
          <w:szCs w:val="22"/>
          <w:lang w:val="es-ES"/>
        </w:rPr>
        <w:t xml:space="preserve">SEGUNDO. Los efectos fiscales de los anteriores cambios, que atañen al índice de situación a aplicar a la mercantil ZACOFE SA en los recibos del IAE, por la actividad económica desarrollada en la isla catastral 23610, con entrada por la Avda. de Vicente Vidal (actual calle </w:t>
      </w:r>
      <w:proofErr w:type="spellStart"/>
      <w:r>
        <w:rPr>
          <w:rFonts w:cs="Arial"/>
          <w:szCs w:val="22"/>
          <w:lang w:val="es-ES"/>
        </w:rPr>
        <w:t>Professora</w:t>
      </w:r>
      <w:proofErr w:type="spellEnd"/>
      <w:r>
        <w:rPr>
          <w:rFonts w:cs="Arial"/>
          <w:szCs w:val="22"/>
          <w:lang w:val="es-ES"/>
        </w:rPr>
        <w:t xml:space="preserve"> María Plasencia), se extienden a los ejercicios 2016 y 2017.</w:t>
      </w:r>
    </w:p>
    <w:p w:rsidR="00D31670" w:rsidRDefault="00D31670" w:rsidP="00D31670">
      <w:pPr>
        <w:pStyle w:val="NormalWeb"/>
        <w:spacing w:before="0" w:beforeAutospacing="0" w:after="0" w:line="240" w:lineRule="auto"/>
        <w:jc w:val="both"/>
        <w:rPr>
          <w:rFonts w:ascii="Arial" w:hAnsi="Arial" w:cs="Arial"/>
          <w:sz w:val="22"/>
          <w:szCs w:val="22"/>
        </w:rPr>
      </w:pPr>
    </w:p>
    <w:p w:rsidR="00D31670" w:rsidRDefault="00D31670" w:rsidP="00D31670">
      <w:pPr>
        <w:pStyle w:val="NormalWeb"/>
        <w:spacing w:before="0" w:beforeAutospacing="0" w:after="0" w:line="240" w:lineRule="auto"/>
        <w:jc w:val="both"/>
        <w:rPr>
          <w:rFonts w:ascii="Arial" w:hAnsi="Arial" w:cs="Arial"/>
          <w:sz w:val="22"/>
          <w:szCs w:val="22"/>
        </w:rPr>
      </w:pPr>
      <w:r>
        <w:rPr>
          <w:rFonts w:ascii="Arial" w:hAnsi="Arial" w:cs="Arial"/>
          <w:sz w:val="22"/>
          <w:szCs w:val="22"/>
        </w:rPr>
        <w:t>TERCER</w:t>
      </w:r>
      <w:r w:rsidRPr="0093138A">
        <w:rPr>
          <w:rFonts w:ascii="Arial" w:hAnsi="Arial" w:cs="Arial"/>
          <w:sz w:val="22"/>
          <w:szCs w:val="22"/>
        </w:rPr>
        <w:t xml:space="preserve">O. Exponer el presente acuerdo por el término de treinta días en el </w:t>
      </w:r>
      <w:r>
        <w:rPr>
          <w:rFonts w:ascii="Arial" w:hAnsi="Arial" w:cs="Arial"/>
          <w:i/>
          <w:iCs/>
          <w:sz w:val="22"/>
          <w:szCs w:val="22"/>
        </w:rPr>
        <w:t>Boletín Oficial de la P</w:t>
      </w:r>
      <w:r w:rsidRPr="00FA17EA">
        <w:rPr>
          <w:rFonts w:ascii="Arial" w:hAnsi="Arial" w:cs="Arial"/>
          <w:i/>
          <w:iCs/>
          <w:sz w:val="22"/>
          <w:szCs w:val="22"/>
        </w:rPr>
        <w:t>rovincia de Valencia</w:t>
      </w:r>
      <w:r w:rsidRPr="0093138A">
        <w:rPr>
          <w:rFonts w:ascii="Arial" w:hAnsi="Arial" w:cs="Arial"/>
          <w:sz w:val="22"/>
          <w:szCs w:val="22"/>
        </w:rPr>
        <w:t xml:space="preserve"> y en el tablón de anuncios de la Casa Consistorial. Finalizada la exposición pública, en caso de que no </w:t>
      </w:r>
      <w:r>
        <w:rPr>
          <w:rFonts w:ascii="Arial" w:hAnsi="Arial" w:cs="Arial"/>
          <w:sz w:val="22"/>
          <w:szCs w:val="22"/>
        </w:rPr>
        <w:t>se hayan</w:t>
      </w:r>
      <w:r w:rsidRPr="0093138A">
        <w:rPr>
          <w:rFonts w:ascii="Arial" w:hAnsi="Arial" w:cs="Arial"/>
          <w:sz w:val="22"/>
          <w:szCs w:val="22"/>
        </w:rPr>
        <w:t xml:space="preserve"> presenta</w:t>
      </w:r>
      <w:r>
        <w:rPr>
          <w:rFonts w:ascii="Arial" w:hAnsi="Arial" w:cs="Arial"/>
          <w:sz w:val="22"/>
          <w:szCs w:val="22"/>
        </w:rPr>
        <w:t>do</w:t>
      </w:r>
      <w:r w:rsidRPr="0093138A">
        <w:rPr>
          <w:rFonts w:ascii="Arial" w:hAnsi="Arial" w:cs="Arial"/>
          <w:sz w:val="22"/>
          <w:szCs w:val="22"/>
        </w:rPr>
        <w:t xml:space="preserve"> reclamaciones se entenderá definitivamente adoptado el acuerdo, sin necesidad un nuevo acuerdo plenario, y </w:t>
      </w:r>
      <w:r>
        <w:rPr>
          <w:rFonts w:ascii="Arial" w:hAnsi="Arial" w:cs="Arial"/>
          <w:sz w:val="22"/>
          <w:szCs w:val="22"/>
        </w:rPr>
        <w:t>se</w:t>
      </w:r>
      <w:r w:rsidRPr="0093138A">
        <w:rPr>
          <w:rFonts w:ascii="Arial" w:hAnsi="Arial" w:cs="Arial"/>
          <w:sz w:val="22"/>
          <w:szCs w:val="22"/>
        </w:rPr>
        <w:t xml:space="preserve"> publicará en forma reglamentaria para su </w:t>
      </w:r>
      <w:r>
        <w:rPr>
          <w:rFonts w:ascii="Arial" w:hAnsi="Arial" w:cs="Arial"/>
          <w:sz w:val="22"/>
          <w:szCs w:val="22"/>
        </w:rPr>
        <w:t>e</w:t>
      </w:r>
      <w:r w:rsidRPr="0093138A">
        <w:rPr>
          <w:rFonts w:ascii="Arial" w:hAnsi="Arial" w:cs="Arial"/>
          <w:sz w:val="22"/>
          <w:szCs w:val="22"/>
        </w:rPr>
        <w:t xml:space="preserve">ntrada en vigor. En caso de presentarse reclamaciones serán resueltas por el </w:t>
      </w:r>
      <w:r>
        <w:rPr>
          <w:rFonts w:ascii="Arial" w:hAnsi="Arial" w:cs="Arial"/>
          <w:sz w:val="22"/>
          <w:szCs w:val="22"/>
        </w:rPr>
        <w:t>P</w:t>
      </w:r>
      <w:r w:rsidRPr="0093138A">
        <w:rPr>
          <w:rFonts w:ascii="Arial" w:hAnsi="Arial" w:cs="Arial"/>
          <w:sz w:val="22"/>
          <w:szCs w:val="22"/>
        </w:rPr>
        <w:t>leno del Ayuntamiento.</w:t>
      </w:r>
    </w:p>
    <w:p w:rsidR="00D31670" w:rsidRDefault="00D31670" w:rsidP="00D31670">
      <w:pPr>
        <w:rPr>
          <w:rFonts w:cs="Arial"/>
          <w:szCs w:val="22"/>
          <w:lang w:val="es-ES"/>
        </w:rPr>
      </w:pPr>
    </w:p>
    <w:p w:rsidR="00D31670" w:rsidRDefault="00D31670" w:rsidP="00D31670">
      <w:pPr>
        <w:rPr>
          <w:rFonts w:cs="Arial"/>
          <w:szCs w:val="22"/>
          <w:lang w:val="es-ES"/>
        </w:rPr>
      </w:pPr>
      <w:r>
        <w:rPr>
          <w:rFonts w:cs="Arial"/>
          <w:szCs w:val="22"/>
          <w:lang w:val="es-ES"/>
        </w:rPr>
        <w:t>CUARTO. Remitir comunicación del presente acuerdo al Tribunal Superior de Justicia de la Comunidad Valenciana, Sala de lo contencioso-administrativo, Sección 4 (Procedimiento Ordinario nº 4/000162/2016-MA).</w:t>
      </w:r>
    </w:p>
    <w:p w:rsidR="00D31670" w:rsidRPr="00FA17EA" w:rsidRDefault="00D31670" w:rsidP="00D31670">
      <w:pPr>
        <w:rPr>
          <w:lang w:val="es-ES"/>
        </w:rPr>
      </w:pPr>
    </w:p>
    <w:p w:rsidR="000923F5" w:rsidRDefault="00D31670" w:rsidP="00902398">
      <w:pPr>
        <w:rPr>
          <w:lang w:val="es-ES"/>
        </w:rPr>
      </w:pPr>
      <w:r>
        <w:rPr>
          <w:lang w:val="es-ES"/>
        </w:rPr>
        <w:t>A continuación, se abre un turno</w:t>
      </w:r>
      <w:r w:rsidR="00EA36A5">
        <w:rPr>
          <w:lang w:val="es-ES"/>
        </w:rPr>
        <w:t xml:space="preserve"> de explicación de voto y se producen las siguientes intervenciones:</w:t>
      </w:r>
    </w:p>
    <w:p w:rsidR="00EA36A5" w:rsidRDefault="00EA36A5" w:rsidP="00902398">
      <w:pPr>
        <w:rPr>
          <w:lang w:val="es-ES"/>
        </w:rPr>
      </w:pPr>
    </w:p>
    <w:p w:rsidR="00EA36A5" w:rsidRPr="00D31670" w:rsidRDefault="00EA36A5" w:rsidP="00902398">
      <w:pPr>
        <w:rPr>
          <w:lang w:val="es-ES"/>
        </w:rPr>
      </w:pPr>
      <w:r>
        <w:rPr>
          <w:lang w:val="es-ES"/>
        </w:rPr>
        <w:t>&lt;&lt;……………………………………………………………………………………………….&gt;&gt;</w:t>
      </w:r>
    </w:p>
    <w:sectPr w:rsidR="00EA36A5" w:rsidRPr="00D31670">
      <w:headerReference w:type="even" r:id="rId6"/>
      <w:headerReference w:type="default" r:id="rId7"/>
      <w:type w:val="continuous"/>
      <w:pgSz w:w="11907" w:h="16840" w:code="9"/>
      <w:pgMar w:top="1701" w:right="1134" w:bottom="1418" w:left="2268"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70" w:rsidRDefault="00D31670">
      <w:r>
        <w:separator/>
      </w:r>
    </w:p>
  </w:endnote>
  <w:endnote w:type="continuationSeparator" w:id="0">
    <w:p w:rsidR="00D31670" w:rsidRDefault="00D31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70" w:rsidRDefault="00D31670">
      <w:r>
        <w:separator/>
      </w:r>
    </w:p>
  </w:footnote>
  <w:footnote w:type="continuationSeparator" w:id="0">
    <w:p w:rsidR="00D31670" w:rsidRDefault="00D31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7" w:rsidRDefault="004C4947">
    <w:pPr>
      <w:framePr w:wrap="around" w:vAnchor="text" w:hAnchor="margin" w:xAlign="right" w:y="1"/>
    </w:pPr>
    <w:fldSimple w:instr="PAGE  ">
      <w:r>
        <w:t>1</w:t>
      </w:r>
    </w:fldSimple>
  </w:p>
  <w:p w:rsidR="004C4947" w:rsidRDefault="004C4947">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7" w:rsidRDefault="004C4947">
    <w:pPr>
      <w:framePr w:wrap="around" w:vAnchor="text" w:hAnchor="margin" w:xAlign="right" w:y="1"/>
    </w:pPr>
    <w:fldSimple w:instr="PAGE  ">
      <w:r w:rsidR="00EA36A5">
        <w:rPr>
          <w:noProof/>
        </w:rPr>
        <w:t>1</w:t>
      </w:r>
    </w:fldSimple>
  </w:p>
  <w:p w:rsidR="004C4947" w:rsidRDefault="004C4947">
    <w:pPr>
      <w:ind w:right="36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stylePaneFormatFilter w:val="3F01"/>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A36A5"/>
    <w:rsid w:val="000923F5"/>
    <w:rsid w:val="002B4AE7"/>
    <w:rsid w:val="004C4947"/>
    <w:rsid w:val="00621F32"/>
    <w:rsid w:val="006B4257"/>
    <w:rsid w:val="00886E26"/>
    <w:rsid w:val="00902398"/>
    <w:rsid w:val="00D31670"/>
    <w:rsid w:val="00E91AD4"/>
    <w:rsid w:val="00EA36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sz w:val="22"/>
      <w:lang w:val="es-ES_tradnl"/>
    </w:rPr>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spacing w:before="240" w:after="60"/>
      <w:outlineLvl w:val="1"/>
    </w:pPr>
    <w:rPr>
      <w:b/>
      <w:i/>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ARIAL11M">
    <w:name w:val="ARIAL11M"/>
    <w:basedOn w:val="Normal"/>
    <w:pPr>
      <w:spacing w:after="240"/>
    </w:pPr>
  </w:style>
  <w:style w:type="character" w:styleId="Nmerodepgina">
    <w:name w:val="page number"/>
    <w:basedOn w:val="Fuentedeprrafopredeter"/>
  </w:style>
  <w:style w:type="paragraph" w:customStyle="1" w:styleId="ARIAL11MCO">
    <w:name w:val="ARIAL11MCO"/>
    <w:basedOn w:val="Normal"/>
    <w:pPr>
      <w:jc w:val="center"/>
    </w:pPr>
    <w:rPr>
      <w:caps/>
      <w:vanish/>
    </w:rPr>
  </w:style>
  <w:style w:type="paragraph" w:styleId="NormalWeb">
    <w:name w:val="Normal (Web)"/>
    <w:basedOn w:val="Normal"/>
    <w:uiPriority w:val="99"/>
    <w:rsid w:val="00D31670"/>
    <w:pPr>
      <w:overflowPunct/>
      <w:autoSpaceDE/>
      <w:autoSpaceDN/>
      <w:adjustRightInd/>
      <w:spacing w:before="100" w:beforeAutospacing="1" w:after="142" w:line="288" w:lineRule="auto"/>
      <w:jc w:val="left"/>
      <w:textAlignment w:val="auto"/>
    </w:pPr>
    <w:rPr>
      <w:rFonts w:ascii="Times New Roman" w:hAnsi="Times New Roman"/>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clfs\Departamentos\GTributaria\Interno\URBANA\CATASTRO\AMPARO\ACUERD%20PLENO%20AMPA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ACUERD PLENO AMPARO</Template>
  <TotalTime>13</TotalTime>
  <Pages>2</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12. MODIFICACIÓ DE L'ORDENANÇA FISCAL REGULADORA DE L'IMPOST SOBRE ACTIVITATS ECONÒMIQUES.</dc:subject>
  <dc:creator>GESTIÓ TRIBUTARIA</dc:creator>
  <cp:keywords>PLE 31/01/2018</cp:keywords>
  <cp:lastModifiedBy>Amparo Sempere</cp:lastModifiedBy>
  <cp:revision>1</cp:revision>
  <cp:lastPrinted>1601-01-01T00:00:00Z</cp:lastPrinted>
  <dcterms:created xsi:type="dcterms:W3CDTF">2018-02-01T10:47:00Z</dcterms:created>
  <dcterms:modified xsi:type="dcterms:W3CDTF">2018-02-01T11:00:00Z</dcterms:modified>
</cp:coreProperties>
</file>